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FAF63" w14:textId="31BCA718" w:rsidR="00C6001D" w:rsidRDefault="00684B74" w:rsidP="00067A24">
      <w:pPr>
        <w:spacing w:after="80"/>
        <w:jc w:val="center"/>
        <w:rPr>
          <w:b/>
        </w:rPr>
      </w:pPr>
      <w:r>
        <w:rPr>
          <w:noProof/>
        </w:rPr>
        <mc:AlternateContent>
          <mc:Choice Requires="wps">
            <w:drawing>
              <wp:anchor distT="45720" distB="45720" distL="114300" distR="114300" simplePos="0" relativeHeight="251661312" behindDoc="0" locked="0" layoutInCell="1" allowOverlap="1" wp14:anchorId="1A129217" wp14:editId="65497C51">
                <wp:simplePos x="0" y="0"/>
                <wp:positionH relativeFrom="margin">
                  <wp:align>center</wp:align>
                </wp:positionH>
                <wp:positionV relativeFrom="paragraph">
                  <wp:posOffset>9525</wp:posOffset>
                </wp:positionV>
                <wp:extent cx="4469130" cy="140462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1404620"/>
                        </a:xfrm>
                        <a:prstGeom prst="rect">
                          <a:avLst/>
                        </a:prstGeom>
                        <a:noFill/>
                        <a:ln w="9525">
                          <a:solidFill>
                            <a:schemeClr val="bg1">
                              <a:lumMod val="50000"/>
                            </a:schemeClr>
                          </a:solidFill>
                          <a:prstDash val="lgDash"/>
                          <a:miter lim="800000"/>
                          <a:headEnd/>
                          <a:tailEnd/>
                        </a:ln>
                      </wps:spPr>
                      <wps:txbx>
                        <w:txbxContent>
                          <w:p w14:paraId="7C2F1E73" w14:textId="51828D99" w:rsidR="00B62621" w:rsidRDefault="00B62621" w:rsidP="00322587">
                            <w:pPr>
                              <w:spacing w:after="0"/>
                              <w:jc w:val="center"/>
                            </w:pPr>
                            <w:r w:rsidRPr="00FA792B">
                              <w:t xml:space="preserve">The Town of </w:t>
                            </w:r>
                            <w:r w:rsidR="00104AB4">
                              <w:t>______</w:t>
                            </w:r>
                            <w:r w:rsidRPr="00FA792B">
                              <w:t xml:space="preserve"> </w:t>
                            </w:r>
                            <w:r>
                              <w:t>should</w:t>
                            </w:r>
                            <w:r w:rsidRPr="00FA792B">
                              <w:t xml:space="preserve"> identify at least </w:t>
                            </w:r>
                            <w:r w:rsidR="00104AB4">
                              <w:t>__</w:t>
                            </w:r>
                            <w:r w:rsidRPr="00FA792B">
                              <w:t xml:space="preserve"> acres of Preferred Sites </w:t>
                            </w:r>
                          </w:p>
                          <w:p w14:paraId="0F7999BA" w14:textId="17BCCE35" w:rsidR="00B62621" w:rsidRDefault="00B62621" w:rsidP="00322587">
                            <w:pPr>
                              <w:spacing w:after="0"/>
                              <w:jc w:val="center"/>
                            </w:pPr>
                            <w:r w:rsidRPr="00FA792B">
                              <w:t>to be certified by BCRC for Act 174 compliance.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129217" id="_x0000_t202" coordsize="21600,21600" o:spt="202" path="m,l,21600r21600,l21600,xe">
                <v:stroke joinstyle="miter"/>
                <v:path gradientshapeok="t" o:connecttype="rect"/>
              </v:shapetype>
              <v:shape id="Text Box 2" o:spid="_x0000_s1026" type="#_x0000_t202" style="position:absolute;left:0;text-align:left;margin-left:0;margin-top:.75pt;width:351.9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" filled="f" strokecolor="#7f7f7f [1612]">
                <v:stroke dashstyle="longDash"/>
                <v:textbox style="mso-fit-shape-to-text:t">
                  <w:txbxContent>
                    <w:p w14:paraId="7C2F1E73" w14:textId="51828D99" w:rsidR="00B62621" w:rsidRDefault="00B62621" w:rsidP="00322587">
                      <w:pPr>
                        <w:spacing w:after="0"/>
                        <w:jc w:val="center"/>
                      </w:pPr>
                      <w:r w:rsidRPr="00FA792B">
                        <w:t xml:space="preserve">The Town of </w:t>
                      </w:r>
                      <w:r w:rsidR="00104AB4">
                        <w:t>______</w:t>
                      </w:r>
                      <w:r w:rsidRPr="00FA792B">
                        <w:t xml:space="preserve"> </w:t>
                      </w:r>
                      <w:r>
                        <w:t>should</w:t>
                      </w:r>
                      <w:r w:rsidRPr="00FA792B">
                        <w:t xml:space="preserve"> identify at least </w:t>
                      </w:r>
                      <w:r w:rsidR="00104AB4">
                        <w:t>__</w:t>
                      </w:r>
                      <w:r w:rsidRPr="00FA792B">
                        <w:t xml:space="preserve"> acres of Preferred Sites </w:t>
                      </w:r>
                    </w:p>
                    <w:p w14:paraId="0F7999BA" w14:textId="17BCCE35" w:rsidR="00B62621" w:rsidRDefault="00B62621" w:rsidP="00322587">
                      <w:pPr>
                        <w:spacing w:after="0"/>
                        <w:jc w:val="center"/>
                      </w:pPr>
                      <w:r w:rsidRPr="00FA792B">
                        <w:t>to be certified by BCRC for Act 174 compliance.</w:t>
                      </w:r>
                    </w:p>
                  </w:txbxContent>
                </v:textbox>
                <w10:wrap type="square" anchorx="margin"/>
              </v:shape>
            </w:pict>
          </mc:Fallback>
        </mc:AlternateContent>
      </w:r>
    </w:p>
    <w:p w14:paraId="479E3E08" w14:textId="313A730F" w:rsidR="00443C9F" w:rsidRDefault="00443C9F" w:rsidP="00067A24">
      <w:pPr>
        <w:spacing w:after="0"/>
        <w:rPr>
          <w:u w:val="single"/>
        </w:rPr>
      </w:pPr>
    </w:p>
    <w:p w14:paraId="68BB0746" w14:textId="7864834B" w:rsidR="00322587" w:rsidRPr="00051FD0" w:rsidRDefault="00322587" w:rsidP="00067A24">
      <w:pPr>
        <w:spacing w:after="0"/>
        <w:rPr>
          <w:sz w:val="16"/>
          <w:szCs w:val="16"/>
        </w:rPr>
      </w:pPr>
    </w:p>
    <w:p w14:paraId="47DF29AA" w14:textId="6614C7E7" w:rsidR="00322587" w:rsidRPr="007D2640" w:rsidRDefault="003147D5" w:rsidP="00067A24">
      <w:pPr>
        <w:spacing w:after="0"/>
        <w:rPr>
          <w:b/>
        </w:rPr>
      </w:pPr>
      <w:r>
        <w:rPr>
          <w:noProof/>
        </w:rPr>
        <mc:AlternateContent>
          <mc:Choice Requires="wps">
            <w:drawing>
              <wp:anchor distT="0" distB="0" distL="114300" distR="114300" simplePos="0" relativeHeight="251662336" behindDoc="0" locked="0" layoutInCell="1" allowOverlap="1" wp14:anchorId="2FA24876" wp14:editId="2D56ABFB">
                <wp:simplePos x="0" y="0"/>
                <wp:positionH relativeFrom="margin">
                  <wp:align>right</wp:align>
                </wp:positionH>
                <wp:positionV relativeFrom="paragraph">
                  <wp:posOffset>124460</wp:posOffset>
                </wp:positionV>
                <wp:extent cx="2819400" cy="1104900"/>
                <wp:effectExtent l="0" t="0" r="19050" b="171450"/>
                <wp:wrapSquare wrapText="bothSides"/>
                <wp:docPr id="2" name="Speech Bubble: Rectangle 2"/>
                <wp:cNvGraphicFramePr/>
                <a:graphic xmlns:a="http://schemas.openxmlformats.org/drawingml/2006/main">
                  <a:graphicData uri="http://schemas.microsoft.com/office/word/2010/wordprocessingShape">
                    <wps:wsp>
                      <wps:cNvSpPr/>
                      <wps:spPr>
                        <a:xfrm>
                          <a:off x="4019550" y="1638300"/>
                          <a:ext cx="2819400" cy="1104900"/>
                        </a:xfrm>
                        <a:prstGeom prst="wedgeRectCallout">
                          <a:avLst>
                            <a:gd name="adj1" fmla="val -21025"/>
                            <a:gd name="adj2" fmla="val 63263"/>
                          </a:avLst>
                        </a:prstGeom>
                        <a:noFill/>
                        <a:ln>
                          <a:solidFill>
                            <a:schemeClr val="bg1">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505BE1E" w14:textId="42EB2F98" w:rsidR="00B62621" w:rsidRDefault="00B62621" w:rsidP="001D0C9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2487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2" o:spid="_x0000_s1027" type="#_x0000_t61" style="position:absolute;margin-left:170.8pt;margin-top:9.8pt;width:222pt;height:8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" adj="6259,24465" filled="f" strokecolor="#bfbfbf [2412]" strokeweight="1pt">
                <v:stroke dashstyle="dash"/>
                <v:textbox>
                  <w:txbxContent>
                    <w:p w14:paraId="7505BE1E" w14:textId="42EB2F98" w:rsidR="00B62621" w:rsidRDefault="00B62621" w:rsidP="001D0C92"/>
                  </w:txbxContent>
                </v:textbox>
                <w10:wrap type="square" anchorx="margin"/>
              </v:shape>
            </w:pict>
          </mc:Fallback>
        </mc:AlternateContent>
      </w:r>
      <w:r w:rsidR="00C4424E" w:rsidRPr="002D3CEF">
        <w:rPr>
          <w:b/>
          <w:noProof/>
        </w:rPr>
        <mc:AlternateContent>
          <mc:Choice Requires="wps">
            <w:drawing>
              <wp:anchor distT="45720" distB="45720" distL="114300" distR="114300" simplePos="0" relativeHeight="251664384" behindDoc="0" locked="0" layoutInCell="1" allowOverlap="1" wp14:anchorId="3202242F" wp14:editId="4645E05B">
                <wp:simplePos x="0" y="0"/>
                <wp:positionH relativeFrom="column">
                  <wp:posOffset>3152775</wp:posOffset>
                </wp:positionH>
                <wp:positionV relativeFrom="paragraph">
                  <wp:posOffset>130810</wp:posOffset>
                </wp:positionV>
                <wp:extent cx="2686050" cy="10858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085850"/>
                        </a:xfrm>
                        <a:prstGeom prst="rect">
                          <a:avLst/>
                        </a:prstGeom>
                        <a:solidFill>
                          <a:srgbClr val="FFFFFF"/>
                        </a:solidFill>
                        <a:ln w="9525">
                          <a:noFill/>
                          <a:miter lim="800000"/>
                          <a:headEnd/>
                          <a:tailEnd/>
                        </a:ln>
                      </wps:spPr>
                      <wps:txbx>
                        <w:txbxContent>
                          <w:p w14:paraId="3D3FAD33" w14:textId="1E885F2A" w:rsidR="00B62621" w:rsidRPr="0054436A" w:rsidRDefault="00B62621" w:rsidP="00C4424E">
                            <w:pPr>
                              <w:jc w:val="center"/>
                              <w:rPr>
                                <w:color w:val="595959" w:themeColor="text1" w:themeTint="A6"/>
                                <w:sz w:val="20"/>
                                <w:szCs w:val="20"/>
                              </w:rPr>
                            </w:pPr>
                            <w:r w:rsidRPr="0054436A">
                              <w:rPr>
                                <w:color w:val="595959" w:themeColor="text1" w:themeTint="A6"/>
                                <w:sz w:val="20"/>
                                <w:szCs w:val="20"/>
                              </w:rPr>
                              <w:t>Under the new net-metering (NM) regulations of 2017, the only way to build a net-metered facility larger than 150 kW is on a preferred site.  This makes the identification of preferred sites critical to the future of renewable electricity generation in the 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2242F" id="_x0000_s1028" type="#_x0000_t202" style="position:absolute;margin-left:248.25pt;margin-top:10.3pt;width:211.5pt;height:8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" stroked="f">
                <v:textbox>
                  <w:txbxContent>
                    <w:p w14:paraId="3D3FAD33" w14:textId="1E885F2A" w:rsidR="00B62621" w:rsidRPr="0054436A" w:rsidRDefault="00B62621" w:rsidP="00C4424E">
                      <w:pPr>
                        <w:jc w:val="center"/>
                        <w:rPr>
                          <w:color w:val="595959" w:themeColor="text1" w:themeTint="A6"/>
                          <w:sz w:val="20"/>
                          <w:szCs w:val="20"/>
                        </w:rPr>
                      </w:pPr>
                      <w:r w:rsidRPr="0054436A">
                        <w:rPr>
                          <w:color w:val="595959" w:themeColor="text1" w:themeTint="A6"/>
                          <w:sz w:val="20"/>
                          <w:szCs w:val="20"/>
                        </w:rPr>
                        <w:t>Under the new net-metering (NM) regulations of 2017, the only way to build a net-metered facility larger than 150 kW is on a preferred site.  This makes the identification of preferred sites critical to the future of renewable electricity generation in the state.</w:t>
                      </w:r>
                    </w:p>
                  </w:txbxContent>
                </v:textbox>
                <w10:wrap type="square"/>
              </v:shape>
            </w:pict>
          </mc:Fallback>
        </mc:AlternateContent>
      </w:r>
      <w:r w:rsidR="00322587" w:rsidRPr="007D2640">
        <w:rPr>
          <w:b/>
        </w:rPr>
        <w:t>What is Act 174?</w:t>
      </w:r>
    </w:p>
    <w:p w14:paraId="379E2F82" w14:textId="49C4A5AD" w:rsidR="00322587" w:rsidRPr="003147D5" w:rsidRDefault="003147D5" w:rsidP="00067A24">
      <w:pPr>
        <w:spacing w:after="0"/>
        <w:rPr>
          <w:sz w:val="21"/>
          <w:szCs w:val="21"/>
        </w:rPr>
      </w:pPr>
      <w:r w:rsidRPr="003147D5">
        <w:rPr>
          <w:noProof/>
          <w:sz w:val="21"/>
          <w:szCs w:val="21"/>
        </w:rPr>
        <w:drawing>
          <wp:anchor distT="0" distB="0" distL="114300" distR="114300" simplePos="0" relativeHeight="251665408" behindDoc="0" locked="0" layoutInCell="1" allowOverlap="1" wp14:anchorId="1D1F2453" wp14:editId="6513FB0E">
            <wp:simplePos x="0" y="0"/>
            <wp:positionH relativeFrom="margin">
              <wp:posOffset>3505200</wp:posOffset>
            </wp:positionH>
            <wp:positionV relativeFrom="paragraph">
              <wp:posOffset>1225550</wp:posOffset>
            </wp:positionV>
            <wp:extent cx="2434590" cy="409575"/>
            <wp:effectExtent l="0" t="0" r="381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243459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2640" w:rsidRPr="003147D5">
        <w:rPr>
          <w:sz w:val="21"/>
          <w:szCs w:val="21"/>
        </w:rPr>
        <w:t xml:space="preserve">Act 174 is a Vermont law passed in 2016 to enhance regional and municipal energy planning </w:t>
      </w:r>
      <w:r w:rsidR="00A114C9" w:rsidRPr="003147D5">
        <w:rPr>
          <w:sz w:val="21"/>
          <w:szCs w:val="21"/>
        </w:rPr>
        <w:t xml:space="preserve">and </w:t>
      </w:r>
      <w:r w:rsidR="00F404F4" w:rsidRPr="003147D5">
        <w:rPr>
          <w:sz w:val="21"/>
          <w:szCs w:val="21"/>
        </w:rPr>
        <w:t xml:space="preserve">to </w:t>
      </w:r>
      <w:r w:rsidR="00A114C9" w:rsidRPr="003147D5">
        <w:rPr>
          <w:sz w:val="21"/>
          <w:szCs w:val="21"/>
        </w:rPr>
        <w:t xml:space="preserve">grant </w:t>
      </w:r>
      <w:r w:rsidR="007D2640" w:rsidRPr="003147D5">
        <w:rPr>
          <w:sz w:val="21"/>
          <w:szCs w:val="21"/>
        </w:rPr>
        <w:t>municipalities m</w:t>
      </w:r>
      <w:r w:rsidR="00A114C9" w:rsidRPr="003147D5">
        <w:rPr>
          <w:sz w:val="21"/>
          <w:szCs w:val="21"/>
        </w:rPr>
        <w:t>ore say</w:t>
      </w:r>
      <w:r w:rsidR="007D2640" w:rsidRPr="003147D5">
        <w:rPr>
          <w:sz w:val="21"/>
          <w:szCs w:val="21"/>
        </w:rPr>
        <w:t xml:space="preserve"> </w:t>
      </w:r>
      <w:r w:rsidR="00F404F4" w:rsidRPr="003147D5">
        <w:rPr>
          <w:sz w:val="21"/>
          <w:szCs w:val="21"/>
        </w:rPr>
        <w:t>i</w:t>
      </w:r>
      <w:r w:rsidR="007D2640" w:rsidRPr="003147D5">
        <w:rPr>
          <w:sz w:val="21"/>
          <w:szCs w:val="21"/>
        </w:rPr>
        <w:t xml:space="preserve">n the siting of renewable electric generation facilities in the state.  </w:t>
      </w:r>
      <w:r w:rsidR="007D2640" w:rsidRPr="003147D5">
        <w:rPr>
          <w:rFonts w:cstheme="minorHAnsi"/>
          <w:sz w:val="21"/>
          <w:szCs w:val="21"/>
          <w:lang w:val="en"/>
        </w:rPr>
        <w:t xml:space="preserve">The Act established standards that –if met by a regional or municipal plan—give their </w:t>
      </w:r>
      <w:r w:rsidR="00490EA7" w:rsidRPr="003147D5">
        <w:rPr>
          <w:rFonts w:cstheme="minorHAnsi"/>
          <w:sz w:val="21"/>
          <w:szCs w:val="21"/>
          <w:lang w:val="en"/>
        </w:rPr>
        <w:t>land conservation measures or specific policies</w:t>
      </w:r>
      <w:r w:rsidR="007D2640" w:rsidRPr="003147D5">
        <w:rPr>
          <w:rFonts w:cstheme="minorHAnsi"/>
          <w:sz w:val="21"/>
          <w:szCs w:val="21"/>
          <w:lang w:val="en"/>
        </w:rPr>
        <w:t xml:space="preserve"> ‘substantial deference’ in Section 248 proceedings of the Public Utility Commission regarding the siting of electric generation facilities.  The Town of </w:t>
      </w:r>
      <w:r w:rsidR="00104AB4">
        <w:rPr>
          <w:rFonts w:cstheme="minorHAnsi"/>
          <w:sz w:val="21"/>
          <w:szCs w:val="21"/>
          <w:lang w:val="en"/>
        </w:rPr>
        <w:t>_____</w:t>
      </w:r>
      <w:r w:rsidR="007D2640" w:rsidRPr="003147D5">
        <w:rPr>
          <w:rFonts w:cstheme="minorHAnsi"/>
          <w:sz w:val="21"/>
          <w:szCs w:val="21"/>
          <w:lang w:val="en"/>
        </w:rPr>
        <w:t xml:space="preserve"> is currently preparing an </w:t>
      </w:r>
      <w:r w:rsidR="007A3E8A">
        <w:rPr>
          <w:rFonts w:cstheme="minorHAnsi"/>
          <w:sz w:val="21"/>
          <w:szCs w:val="21"/>
          <w:lang w:val="en"/>
        </w:rPr>
        <w:t>energy</w:t>
      </w:r>
      <w:r w:rsidR="007D2640" w:rsidRPr="003147D5">
        <w:rPr>
          <w:rFonts w:cstheme="minorHAnsi"/>
          <w:sz w:val="21"/>
          <w:szCs w:val="21"/>
          <w:lang w:val="en"/>
        </w:rPr>
        <w:t xml:space="preserve"> plan</w:t>
      </w:r>
      <w:r w:rsidR="007A3E8A">
        <w:rPr>
          <w:rFonts w:cstheme="minorHAnsi"/>
          <w:sz w:val="21"/>
          <w:szCs w:val="21"/>
          <w:lang w:val="en"/>
        </w:rPr>
        <w:t>, which will be reviewed by t</w:t>
      </w:r>
      <w:r w:rsidR="0067622C" w:rsidRPr="003147D5">
        <w:rPr>
          <w:rFonts w:cstheme="minorHAnsi"/>
          <w:sz w:val="21"/>
          <w:szCs w:val="21"/>
          <w:lang w:val="en"/>
        </w:rPr>
        <w:t>he Bennington County Regional Commission for compliance with Act 174</w:t>
      </w:r>
      <w:r w:rsidR="00490EA7" w:rsidRPr="003147D5">
        <w:rPr>
          <w:rFonts w:cstheme="minorHAnsi"/>
          <w:sz w:val="21"/>
          <w:szCs w:val="21"/>
          <w:lang w:val="en"/>
        </w:rPr>
        <w:t xml:space="preserve"> standards</w:t>
      </w:r>
      <w:r w:rsidR="0067622C" w:rsidRPr="003147D5">
        <w:rPr>
          <w:rFonts w:cstheme="minorHAnsi"/>
          <w:sz w:val="21"/>
          <w:szCs w:val="21"/>
          <w:lang w:val="en"/>
        </w:rPr>
        <w:t xml:space="preserve">. </w:t>
      </w:r>
    </w:p>
    <w:p w14:paraId="18AF870B" w14:textId="7326329C" w:rsidR="00067A24" w:rsidRPr="004E1C32" w:rsidRDefault="00067A24" w:rsidP="00067A24">
      <w:pPr>
        <w:spacing w:after="0"/>
        <w:rPr>
          <w:sz w:val="16"/>
          <w:szCs w:val="16"/>
        </w:rPr>
      </w:pPr>
    </w:p>
    <w:p w14:paraId="1E03EBF1" w14:textId="1B70888E" w:rsidR="000C4AD2" w:rsidRDefault="00834C7F" w:rsidP="007D2640">
      <w:pPr>
        <w:spacing w:after="0"/>
        <w:rPr>
          <w:b/>
        </w:rPr>
      </w:pPr>
      <w:r w:rsidRPr="003147D5">
        <w:rPr>
          <w:noProof/>
          <w:sz w:val="21"/>
          <w:szCs w:val="21"/>
        </w:rPr>
        <mc:AlternateContent>
          <mc:Choice Requires="wps">
            <w:drawing>
              <wp:anchor distT="45720" distB="45720" distL="114300" distR="114300" simplePos="0" relativeHeight="251667456" behindDoc="0" locked="0" layoutInCell="1" allowOverlap="1" wp14:anchorId="638DF212" wp14:editId="3710AAC5">
                <wp:simplePos x="0" y="0"/>
                <wp:positionH relativeFrom="margin">
                  <wp:posOffset>3105150</wp:posOffset>
                </wp:positionH>
                <wp:positionV relativeFrom="paragraph">
                  <wp:posOffset>149860</wp:posOffset>
                </wp:positionV>
                <wp:extent cx="2821305" cy="4543425"/>
                <wp:effectExtent l="0" t="0" r="1714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4543425"/>
                        </a:xfrm>
                        <a:prstGeom prst="rect">
                          <a:avLst/>
                        </a:prstGeom>
                        <a:noFill/>
                        <a:ln w="9525">
                          <a:solidFill>
                            <a:schemeClr val="bg1">
                              <a:lumMod val="75000"/>
                            </a:schemeClr>
                          </a:solidFill>
                          <a:prstDash val="dash"/>
                          <a:miter lim="800000"/>
                          <a:headEnd/>
                          <a:tailEnd/>
                        </a:ln>
                      </wps:spPr>
                      <wps:txbx>
                        <w:txbxContent>
                          <w:p w14:paraId="164F2058" w14:textId="7BB4F5A3" w:rsidR="00B62621" w:rsidRPr="0054436A" w:rsidRDefault="00B62621" w:rsidP="00051FD0">
                            <w:pPr>
                              <w:spacing w:after="0"/>
                              <w:jc w:val="center"/>
                              <w:rPr>
                                <w:b/>
                                <w:color w:val="595959" w:themeColor="text1" w:themeTint="A6"/>
                              </w:rPr>
                            </w:pPr>
                            <w:r w:rsidRPr="0054436A">
                              <w:rPr>
                                <w:b/>
                                <w:color w:val="595959" w:themeColor="text1" w:themeTint="A6"/>
                              </w:rPr>
                              <w:t>Preferred Sites identified under NM Rules</w:t>
                            </w:r>
                          </w:p>
                          <w:p w14:paraId="15889725" w14:textId="77777777" w:rsidR="00004CC1" w:rsidRPr="0054436A" w:rsidRDefault="00004CC1" w:rsidP="00004CC1">
                            <w:pPr>
                              <w:numPr>
                                <w:ilvl w:val="0"/>
                                <w:numId w:val="2"/>
                              </w:numPr>
                              <w:tabs>
                                <w:tab w:val="clear" w:pos="720"/>
                                <w:tab w:val="num" w:pos="360"/>
                              </w:tabs>
                              <w:spacing w:after="0"/>
                              <w:ind w:left="270" w:hanging="270"/>
                              <w:rPr>
                                <w:b/>
                                <w:color w:val="595959" w:themeColor="text1" w:themeTint="A6"/>
                                <w:sz w:val="20"/>
                                <w:szCs w:val="20"/>
                              </w:rPr>
                            </w:pPr>
                            <w:r w:rsidRPr="0054436A">
                              <w:rPr>
                                <w:b/>
                                <w:color w:val="595959" w:themeColor="text1" w:themeTint="A6"/>
                                <w:sz w:val="20"/>
                                <w:szCs w:val="20"/>
                              </w:rPr>
                              <w:t xml:space="preserve">A specific location designated in a duly adopted municipal plan for the siting of a renewable energy </w:t>
                            </w:r>
                            <w:r>
                              <w:rPr>
                                <w:b/>
                                <w:color w:val="595959" w:themeColor="text1" w:themeTint="A6"/>
                                <w:sz w:val="20"/>
                                <w:szCs w:val="20"/>
                              </w:rPr>
                              <w:t>facility</w:t>
                            </w:r>
                          </w:p>
                          <w:p w14:paraId="476EF6F5" w14:textId="39EEB97F" w:rsidR="00B62621" w:rsidRPr="0054436A" w:rsidRDefault="00B62621" w:rsidP="00C4424E">
                            <w:pPr>
                              <w:numPr>
                                <w:ilvl w:val="0"/>
                                <w:numId w:val="2"/>
                              </w:numPr>
                              <w:tabs>
                                <w:tab w:val="clear" w:pos="720"/>
                                <w:tab w:val="num" w:pos="360"/>
                              </w:tabs>
                              <w:spacing w:after="0"/>
                              <w:ind w:left="270" w:hanging="270"/>
                              <w:rPr>
                                <w:color w:val="595959" w:themeColor="text1" w:themeTint="A6"/>
                                <w:sz w:val="20"/>
                                <w:szCs w:val="20"/>
                              </w:rPr>
                            </w:pPr>
                            <w:r w:rsidRPr="0054436A">
                              <w:rPr>
                                <w:color w:val="595959" w:themeColor="text1" w:themeTint="A6"/>
                                <w:sz w:val="20"/>
                                <w:szCs w:val="20"/>
                              </w:rPr>
                              <w:t>A new or existing structure whose primary use is not the generation of electricity</w:t>
                            </w:r>
                          </w:p>
                          <w:p w14:paraId="07050241" w14:textId="77777777" w:rsidR="00B62621" w:rsidRPr="0054436A" w:rsidRDefault="00B62621" w:rsidP="00C4424E">
                            <w:pPr>
                              <w:numPr>
                                <w:ilvl w:val="0"/>
                                <w:numId w:val="2"/>
                              </w:numPr>
                              <w:tabs>
                                <w:tab w:val="clear" w:pos="720"/>
                                <w:tab w:val="num" w:pos="360"/>
                              </w:tabs>
                              <w:spacing w:after="0"/>
                              <w:ind w:left="270" w:hanging="270"/>
                              <w:rPr>
                                <w:color w:val="595959" w:themeColor="text1" w:themeTint="A6"/>
                                <w:sz w:val="20"/>
                                <w:szCs w:val="20"/>
                              </w:rPr>
                            </w:pPr>
                            <w:r w:rsidRPr="0054436A">
                              <w:rPr>
                                <w:color w:val="595959" w:themeColor="text1" w:themeTint="A6"/>
                                <w:sz w:val="20"/>
                                <w:szCs w:val="20"/>
                              </w:rPr>
                              <w:t>A parking lot canopy over a paved parking lot</w:t>
                            </w:r>
                          </w:p>
                          <w:p w14:paraId="663424A5" w14:textId="77777777" w:rsidR="00B62621" w:rsidRPr="0054436A" w:rsidRDefault="00B62621" w:rsidP="00C4424E">
                            <w:pPr>
                              <w:numPr>
                                <w:ilvl w:val="0"/>
                                <w:numId w:val="2"/>
                              </w:numPr>
                              <w:tabs>
                                <w:tab w:val="clear" w:pos="720"/>
                                <w:tab w:val="num" w:pos="360"/>
                              </w:tabs>
                              <w:spacing w:after="0"/>
                              <w:ind w:left="270" w:hanging="270"/>
                              <w:rPr>
                                <w:color w:val="595959" w:themeColor="text1" w:themeTint="A6"/>
                                <w:sz w:val="20"/>
                                <w:szCs w:val="20"/>
                              </w:rPr>
                            </w:pPr>
                            <w:r w:rsidRPr="0054436A">
                              <w:rPr>
                                <w:color w:val="595959" w:themeColor="text1" w:themeTint="A6"/>
                                <w:sz w:val="20"/>
                                <w:szCs w:val="20"/>
                              </w:rPr>
                              <w:t>A tract previously developed for a use other than siting a plant on which a structure or impervious surface was lawfully in existence prior to July 1 of the year preceding the year in which an application for a Certificate of Public Good was filed</w:t>
                            </w:r>
                          </w:p>
                          <w:p w14:paraId="796EAE25" w14:textId="77777777" w:rsidR="00B62621" w:rsidRPr="0054436A" w:rsidRDefault="00B62621" w:rsidP="00C4424E">
                            <w:pPr>
                              <w:numPr>
                                <w:ilvl w:val="0"/>
                                <w:numId w:val="2"/>
                              </w:numPr>
                              <w:tabs>
                                <w:tab w:val="clear" w:pos="720"/>
                                <w:tab w:val="num" w:pos="360"/>
                              </w:tabs>
                              <w:spacing w:after="0"/>
                              <w:ind w:left="270" w:hanging="270"/>
                              <w:rPr>
                                <w:color w:val="595959" w:themeColor="text1" w:themeTint="A6"/>
                                <w:sz w:val="20"/>
                                <w:szCs w:val="20"/>
                              </w:rPr>
                            </w:pPr>
                            <w:r w:rsidRPr="0054436A">
                              <w:rPr>
                                <w:color w:val="595959" w:themeColor="text1" w:themeTint="A6"/>
                                <w:sz w:val="20"/>
                                <w:szCs w:val="20"/>
                              </w:rPr>
                              <w:t>A brownfield – as certified by ANR</w:t>
                            </w:r>
                          </w:p>
                          <w:p w14:paraId="261BCA56" w14:textId="77777777" w:rsidR="00B62621" w:rsidRPr="0054436A" w:rsidRDefault="00B62621" w:rsidP="00C4424E">
                            <w:pPr>
                              <w:numPr>
                                <w:ilvl w:val="0"/>
                                <w:numId w:val="2"/>
                              </w:numPr>
                              <w:tabs>
                                <w:tab w:val="clear" w:pos="720"/>
                                <w:tab w:val="num" w:pos="360"/>
                              </w:tabs>
                              <w:spacing w:after="0"/>
                              <w:ind w:left="270" w:hanging="270"/>
                              <w:rPr>
                                <w:color w:val="595959" w:themeColor="text1" w:themeTint="A6"/>
                                <w:sz w:val="20"/>
                                <w:szCs w:val="20"/>
                              </w:rPr>
                            </w:pPr>
                            <w:r w:rsidRPr="0054436A">
                              <w:rPr>
                                <w:color w:val="595959" w:themeColor="text1" w:themeTint="A6"/>
                                <w:sz w:val="20"/>
                                <w:szCs w:val="20"/>
                              </w:rPr>
                              <w:t>A sanitary landfill – as certified by ANR</w:t>
                            </w:r>
                          </w:p>
                          <w:p w14:paraId="132E19B0" w14:textId="6392F72F" w:rsidR="00B62621" w:rsidRPr="0054436A" w:rsidRDefault="00B62621" w:rsidP="00C4424E">
                            <w:pPr>
                              <w:numPr>
                                <w:ilvl w:val="0"/>
                                <w:numId w:val="2"/>
                              </w:numPr>
                              <w:tabs>
                                <w:tab w:val="clear" w:pos="720"/>
                                <w:tab w:val="num" w:pos="360"/>
                              </w:tabs>
                              <w:spacing w:after="0"/>
                              <w:ind w:left="270" w:hanging="270"/>
                              <w:rPr>
                                <w:color w:val="595959" w:themeColor="text1" w:themeTint="A6"/>
                                <w:sz w:val="20"/>
                                <w:szCs w:val="20"/>
                              </w:rPr>
                            </w:pPr>
                            <w:r w:rsidRPr="0054436A">
                              <w:rPr>
                                <w:color w:val="595959" w:themeColor="text1" w:themeTint="A6"/>
                                <w:sz w:val="20"/>
                                <w:szCs w:val="20"/>
                              </w:rPr>
                              <w:t>The disturbed portion of a gravel pit, quarry, or similar site for extraction of a mineral resource</w:t>
                            </w:r>
                          </w:p>
                          <w:p w14:paraId="07DAAD3D" w14:textId="0101DF92" w:rsidR="00B62621" w:rsidRPr="0054436A" w:rsidRDefault="00B62621" w:rsidP="00C4424E">
                            <w:pPr>
                              <w:numPr>
                                <w:ilvl w:val="0"/>
                                <w:numId w:val="2"/>
                              </w:numPr>
                              <w:tabs>
                                <w:tab w:val="clear" w:pos="720"/>
                                <w:tab w:val="num" w:pos="360"/>
                              </w:tabs>
                              <w:spacing w:after="0"/>
                              <w:ind w:left="270" w:hanging="270"/>
                              <w:rPr>
                                <w:color w:val="595959" w:themeColor="text1" w:themeTint="A6"/>
                                <w:sz w:val="20"/>
                                <w:szCs w:val="20"/>
                              </w:rPr>
                            </w:pPr>
                            <w:r w:rsidRPr="0054436A">
                              <w:rPr>
                                <w:color w:val="595959" w:themeColor="text1" w:themeTint="A6"/>
                                <w:sz w:val="20"/>
                                <w:szCs w:val="20"/>
                              </w:rPr>
                              <w:t xml:space="preserve">A site listed on the National Priorities List (a.k.a. Superfund Sites) as confirmed by the EPA, provided development will not compromise or interfere with remedial action on the site and the site is suitable for development of the </w:t>
                            </w:r>
                            <w:r w:rsidR="00834C7F">
                              <w:rPr>
                                <w:color w:val="595959" w:themeColor="text1" w:themeTint="A6"/>
                                <w:sz w:val="20"/>
                                <w:szCs w:val="20"/>
                              </w:rPr>
                              <w:t>facility</w:t>
                            </w:r>
                          </w:p>
                          <w:p w14:paraId="6B34B069" w14:textId="651698EF" w:rsidR="00B62621" w:rsidRPr="0054436A" w:rsidRDefault="00B62621" w:rsidP="00C4424E">
                            <w:pPr>
                              <w:numPr>
                                <w:ilvl w:val="0"/>
                                <w:numId w:val="2"/>
                              </w:numPr>
                              <w:tabs>
                                <w:tab w:val="clear" w:pos="720"/>
                                <w:tab w:val="num" w:pos="270"/>
                              </w:tabs>
                              <w:spacing w:after="120"/>
                              <w:ind w:left="270" w:hanging="270"/>
                              <w:rPr>
                                <w:color w:val="595959" w:themeColor="text1" w:themeTint="A6"/>
                                <w:sz w:val="20"/>
                                <w:szCs w:val="20"/>
                              </w:rPr>
                            </w:pPr>
                            <w:r w:rsidRPr="0054436A">
                              <w:rPr>
                                <w:color w:val="595959" w:themeColor="text1" w:themeTint="A6"/>
                                <w:sz w:val="20"/>
                                <w:szCs w:val="20"/>
                              </w:rPr>
                              <w:t xml:space="preserve">The same parcel as, or directly adjacent to, a customer that has been allocated more than 50% of the </w:t>
                            </w:r>
                            <w:r w:rsidR="00834C7F">
                              <w:rPr>
                                <w:color w:val="595959" w:themeColor="text1" w:themeTint="A6"/>
                                <w:sz w:val="20"/>
                                <w:szCs w:val="20"/>
                              </w:rPr>
                              <w:t>NM</w:t>
                            </w:r>
                            <w:r w:rsidRPr="0054436A">
                              <w:rPr>
                                <w:color w:val="595959" w:themeColor="text1" w:themeTint="A6"/>
                                <w:sz w:val="20"/>
                                <w:szCs w:val="20"/>
                              </w:rPr>
                              <w:t xml:space="preserve"> system's electrical output.</w:t>
                            </w:r>
                          </w:p>
                          <w:p w14:paraId="14498FAD" w14:textId="48AAF60C" w:rsidR="00B62621" w:rsidRDefault="00B626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DF212" id="_x0000_s1029" type="#_x0000_t202" style="position:absolute;margin-left:244.5pt;margin-top:11.8pt;width:222.15pt;height:357.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" filled="f" strokecolor="#bfbfbf [2412]">
                <v:stroke dashstyle="dash"/>
                <v:textbox>
                  <w:txbxContent>
                    <w:p w14:paraId="164F2058" w14:textId="7BB4F5A3" w:rsidR="00B62621" w:rsidRPr="0054436A" w:rsidRDefault="00B62621" w:rsidP="00051FD0">
                      <w:pPr>
                        <w:spacing w:after="0"/>
                        <w:jc w:val="center"/>
                        <w:rPr>
                          <w:b/>
                          <w:color w:val="595959" w:themeColor="text1" w:themeTint="A6"/>
                        </w:rPr>
                      </w:pPr>
                      <w:r w:rsidRPr="0054436A">
                        <w:rPr>
                          <w:b/>
                          <w:color w:val="595959" w:themeColor="text1" w:themeTint="A6"/>
                        </w:rPr>
                        <w:t>Preferred Sites identified under NM Rules</w:t>
                      </w:r>
                    </w:p>
                    <w:p w14:paraId="15889725" w14:textId="77777777" w:rsidR="00004CC1" w:rsidRPr="0054436A" w:rsidRDefault="00004CC1" w:rsidP="00004CC1">
                      <w:pPr>
                        <w:numPr>
                          <w:ilvl w:val="0"/>
                          <w:numId w:val="2"/>
                        </w:numPr>
                        <w:tabs>
                          <w:tab w:val="clear" w:pos="720"/>
                          <w:tab w:val="num" w:pos="360"/>
                        </w:tabs>
                        <w:spacing w:after="0"/>
                        <w:ind w:left="270" w:hanging="270"/>
                        <w:rPr>
                          <w:b/>
                          <w:color w:val="595959" w:themeColor="text1" w:themeTint="A6"/>
                          <w:sz w:val="20"/>
                          <w:szCs w:val="20"/>
                        </w:rPr>
                      </w:pPr>
                      <w:r w:rsidRPr="0054436A">
                        <w:rPr>
                          <w:b/>
                          <w:color w:val="595959" w:themeColor="text1" w:themeTint="A6"/>
                          <w:sz w:val="20"/>
                          <w:szCs w:val="20"/>
                        </w:rPr>
                        <w:t xml:space="preserve">A specific location designated in a duly adopted municipal plan for the siting of a renewable energy </w:t>
                      </w:r>
                      <w:r>
                        <w:rPr>
                          <w:b/>
                          <w:color w:val="595959" w:themeColor="text1" w:themeTint="A6"/>
                          <w:sz w:val="20"/>
                          <w:szCs w:val="20"/>
                        </w:rPr>
                        <w:t>facility</w:t>
                      </w:r>
                    </w:p>
                    <w:p w14:paraId="476EF6F5" w14:textId="39EEB97F" w:rsidR="00B62621" w:rsidRPr="0054436A" w:rsidRDefault="00B62621" w:rsidP="00C4424E">
                      <w:pPr>
                        <w:numPr>
                          <w:ilvl w:val="0"/>
                          <w:numId w:val="2"/>
                        </w:numPr>
                        <w:tabs>
                          <w:tab w:val="clear" w:pos="720"/>
                          <w:tab w:val="num" w:pos="360"/>
                        </w:tabs>
                        <w:spacing w:after="0"/>
                        <w:ind w:left="270" w:hanging="270"/>
                        <w:rPr>
                          <w:color w:val="595959" w:themeColor="text1" w:themeTint="A6"/>
                          <w:sz w:val="20"/>
                          <w:szCs w:val="20"/>
                        </w:rPr>
                      </w:pPr>
                      <w:r w:rsidRPr="0054436A">
                        <w:rPr>
                          <w:color w:val="595959" w:themeColor="text1" w:themeTint="A6"/>
                          <w:sz w:val="20"/>
                          <w:szCs w:val="20"/>
                        </w:rPr>
                        <w:t>A new or existing structure whose primary use is not the generation of electricity</w:t>
                      </w:r>
                    </w:p>
                    <w:p w14:paraId="07050241" w14:textId="77777777" w:rsidR="00B62621" w:rsidRPr="0054436A" w:rsidRDefault="00B62621" w:rsidP="00C4424E">
                      <w:pPr>
                        <w:numPr>
                          <w:ilvl w:val="0"/>
                          <w:numId w:val="2"/>
                        </w:numPr>
                        <w:tabs>
                          <w:tab w:val="clear" w:pos="720"/>
                          <w:tab w:val="num" w:pos="360"/>
                        </w:tabs>
                        <w:spacing w:after="0"/>
                        <w:ind w:left="270" w:hanging="270"/>
                        <w:rPr>
                          <w:color w:val="595959" w:themeColor="text1" w:themeTint="A6"/>
                          <w:sz w:val="20"/>
                          <w:szCs w:val="20"/>
                        </w:rPr>
                      </w:pPr>
                      <w:r w:rsidRPr="0054436A">
                        <w:rPr>
                          <w:color w:val="595959" w:themeColor="text1" w:themeTint="A6"/>
                          <w:sz w:val="20"/>
                          <w:szCs w:val="20"/>
                        </w:rPr>
                        <w:t>A parking lot canopy over a paved parking lot</w:t>
                      </w:r>
                    </w:p>
                    <w:p w14:paraId="663424A5" w14:textId="77777777" w:rsidR="00B62621" w:rsidRPr="0054436A" w:rsidRDefault="00B62621" w:rsidP="00C4424E">
                      <w:pPr>
                        <w:numPr>
                          <w:ilvl w:val="0"/>
                          <w:numId w:val="2"/>
                        </w:numPr>
                        <w:tabs>
                          <w:tab w:val="clear" w:pos="720"/>
                          <w:tab w:val="num" w:pos="360"/>
                        </w:tabs>
                        <w:spacing w:after="0"/>
                        <w:ind w:left="270" w:hanging="270"/>
                        <w:rPr>
                          <w:color w:val="595959" w:themeColor="text1" w:themeTint="A6"/>
                          <w:sz w:val="20"/>
                          <w:szCs w:val="20"/>
                        </w:rPr>
                      </w:pPr>
                      <w:r w:rsidRPr="0054436A">
                        <w:rPr>
                          <w:color w:val="595959" w:themeColor="text1" w:themeTint="A6"/>
                          <w:sz w:val="20"/>
                          <w:szCs w:val="20"/>
                        </w:rPr>
                        <w:t>A tract previously developed for a use other than siting a plant on which a structure or impervious surface was lawfully in existence prior to July 1 of the year preceding the year in which an application for a Certificate of Public Good was filed</w:t>
                      </w:r>
                    </w:p>
                    <w:p w14:paraId="796EAE25" w14:textId="77777777" w:rsidR="00B62621" w:rsidRPr="0054436A" w:rsidRDefault="00B62621" w:rsidP="00C4424E">
                      <w:pPr>
                        <w:numPr>
                          <w:ilvl w:val="0"/>
                          <w:numId w:val="2"/>
                        </w:numPr>
                        <w:tabs>
                          <w:tab w:val="clear" w:pos="720"/>
                          <w:tab w:val="num" w:pos="360"/>
                        </w:tabs>
                        <w:spacing w:after="0"/>
                        <w:ind w:left="270" w:hanging="270"/>
                        <w:rPr>
                          <w:color w:val="595959" w:themeColor="text1" w:themeTint="A6"/>
                          <w:sz w:val="20"/>
                          <w:szCs w:val="20"/>
                        </w:rPr>
                      </w:pPr>
                      <w:r w:rsidRPr="0054436A">
                        <w:rPr>
                          <w:color w:val="595959" w:themeColor="text1" w:themeTint="A6"/>
                          <w:sz w:val="20"/>
                          <w:szCs w:val="20"/>
                        </w:rPr>
                        <w:t>A brownfield – as certified by ANR</w:t>
                      </w:r>
                    </w:p>
                    <w:p w14:paraId="261BCA56" w14:textId="77777777" w:rsidR="00B62621" w:rsidRPr="0054436A" w:rsidRDefault="00B62621" w:rsidP="00C4424E">
                      <w:pPr>
                        <w:numPr>
                          <w:ilvl w:val="0"/>
                          <w:numId w:val="2"/>
                        </w:numPr>
                        <w:tabs>
                          <w:tab w:val="clear" w:pos="720"/>
                          <w:tab w:val="num" w:pos="360"/>
                        </w:tabs>
                        <w:spacing w:after="0"/>
                        <w:ind w:left="270" w:hanging="270"/>
                        <w:rPr>
                          <w:color w:val="595959" w:themeColor="text1" w:themeTint="A6"/>
                          <w:sz w:val="20"/>
                          <w:szCs w:val="20"/>
                        </w:rPr>
                      </w:pPr>
                      <w:r w:rsidRPr="0054436A">
                        <w:rPr>
                          <w:color w:val="595959" w:themeColor="text1" w:themeTint="A6"/>
                          <w:sz w:val="20"/>
                          <w:szCs w:val="20"/>
                        </w:rPr>
                        <w:t>A sanitary landfill – as certified by ANR</w:t>
                      </w:r>
                    </w:p>
                    <w:p w14:paraId="132E19B0" w14:textId="6392F72F" w:rsidR="00B62621" w:rsidRPr="0054436A" w:rsidRDefault="00B62621" w:rsidP="00C4424E">
                      <w:pPr>
                        <w:numPr>
                          <w:ilvl w:val="0"/>
                          <w:numId w:val="2"/>
                        </w:numPr>
                        <w:tabs>
                          <w:tab w:val="clear" w:pos="720"/>
                          <w:tab w:val="num" w:pos="360"/>
                        </w:tabs>
                        <w:spacing w:after="0"/>
                        <w:ind w:left="270" w:hanging="270"/>
                        <w:rPr>
                          <w:color w:val="595959" w:themeColor="text1" w:themeTint="A6"/>
                          <w:sz w:val="20"/>
                          <w:szCs w:val="20"/>
                        </w:rPr>
                      </w:pPr>
                      <w:r w:rsidRPr="0054436A">
                        <w:rPr>
                          <w:color w:val="595959" w:themeColor="text1" w:themeTint="A6"/>
                          <w:sz w:val="20"/>
                          <w:szCs w:val="20"/>
                        </w:rPr>
                        <w:t>The disturbed portion of a gravel pit, quarry, or similar site for extraction of a mineral resource</w:t>
                      </w:r>
                    </w:p>
                    <w:p w14:paraId="07DAAD3D" w14:textId="0101DF92" w:rsidR="00B62621" w:rsidRPr="0054436A" w:rsidRDefault="00B62621" w:rsidP="00C4424E">
                      <w:pPr>
                        <w:numPr>
                          <w:ilvl w:val="0"/>
                          <w:numId w:val="2"/>
                        </w:numPr>
                        <w:tabs>
                          <w:tab w:val="clear" w:pos="720"/>
                          <w:tab w:val="num" w:pos="360"/>
                        </w:tabs>
                        <w:spacing w:after="0"/>
                        <w:ind w:left="270" w:hanging="270"/>
                        <w:rPr>
                          <w:color w:val="595959" w:themeColor="text1" w:themeTint="A6"/>
                          <w:sz w:val="20"/>
                          <w:szCs w:val="20"/>
                        </w:rPr>
                      </w:pPr>
                      <w:r w:rsidRPr="0054436A">
                        <w:rPr>
                          <w:color w:val="595959" w:themeColor="text1" w:themeTint="A6"/>
                          <w:sz w:val="20"/>
                          <w:szCs w:val="20"/>
                        </w:rPr>
                        <w:t xml:space="preserve">A site listed on the National Priorities List (a.k.a. Superfund Sites) as confirmed by the EPA, provided development will not compromise or interfere with remedial action on the site and the site is suitable for development of the </w:t>
                      </w:r>
                      <w:r w:rsidR="00834C7F">
                        <w:rPr>
                          <w:color w:val="595959" w:themeColor="text1" w:themeTint="A6"/>
                          <w:sz w:val="20"/>
                          <w:szCs w:val="20"/>
                        </w:rPr>
                        <w:t>facility</w:t>
                      </w:r>
                    </w:p>
                    <w:p w14:paraId="6B34B069" w14:textId="651698EF" w:rsidR="00B62621" w:rsidRPr="0054436A" w:rsidRDefault="00B62621" w:rsidP="00C4424E">
                      <w:pPr>
                        <w:numPr>
                          <w:ilvl w:val="0"/>
                          <w:numId w:val="2"/>
                        </w:numPr>
                        <w:tabs>
                          <w:tab w:val="clear" w:pos="720"/>
                          <w:tab w:val="num" w:pos="270"/>
                        </w:tabs>
                        <w:spacing w:after="120"/>
                        <w:ind w:left="270" w:hanging="270"/>
                        <w:rPr>
                          <w:color w:val="595959" w:themeColor="text1" w:themeTint="A6"/>
                          <w:sz w:val="20"/>
                          <w:szCs w:val="20"/>
                        </w:rPr>
                      </w:pPr>
                      <w:r w:rsidRPr="0054436A">
                        <w:rPr>
                          <w:color w:val="595959" w:themeColor="text1" w:themeTint="A6"/>
                          <w:sz w:val="20"/>
                          <w:szCs w:val="20"/>
                        </w:rPr>
                        <w:t xml:space="preserve">The same parcel as, or directly adjacent to, a customer that has been allocated more than 50% of the </w:t>
                      </w:r>
                      <w:r w:rsidR="00834C7F">
                        <w:rPr>
                          <w:color w:val="595959" w:themeColor="text1" w:themeTint="A6"/>
                          <w:sz w:val="20"/>
                          <w:szCs w:val="20"/>
                        </w:rPr>
                        <w:t>NM</w:t>
                      </w:r>
                      <w:r w:rsidRPr="0054436A">
                        <w:rPr>
                          <w:color w:val="595959" w:themeColor="text1" w:themeTint="A6"/>
                          <w:sz w:val="20"/>
                          <w:szCs w:val="20"/>
                        </w:rPr>
                        <w:t xml:space="preserve"> system's electrical output.</w:t>
                      </w:r>
                    </w:p>
                    <w:p w14:paraId="14498FAD" w14:textId="48AAF60C" w:rsidR="00B62621" w:rsidRDefault="00B62621"/>
                  </w:txbxContent>
                </v:textbox>
                <w10:wrap type="square" anchorx="margin"/>
              </v:shape>
            </w:pict>
          </mc:Fallback>
        </mc:AlternateContent>
      </w:r>
      <w:r w:rsidR="000C4AD2" w:rsidRPr="000C4AD2">
        <w:rPr>
          <w:b/>
        </w:rPr>
        <w:t>What is a Preferred Site?</w:t>
      </w:r>
      <w:r w:rsidR="003B3E91">
        <w:rPr>
          <w:b/>
        </w:rPr>
        <w:t xml:space="preserve"> </w:t>
      </w:r>
    </w:p>
    <w:p w14:paraId="108046AF" w14:textId="7EE7C78E" w:rsidR="00F404F4" w:rsidRPr="003147D5" w:rsidRDefault="00F404F4" w:rsidP="00F404F4">
      <w:pPr>
        <w:spacing w:after="0"/>
        <w:rPr>
          <w:sz w:val="21"/>
          <w:szCs w:val="21"/>
        </w:rPr>
      </w:pPr>
      <w:r w:rsidRPr="003147D5">
        <w:rPr>
          <w:sz w:val="21"/>
          <w:szCs w:val="21"/>
        </w:rPr>
        <w:t xml:space="preserve">Preferred </w:t>
      </w:r>
      <w:r w:rsidR="003203D1" w:rsidRPr="003147D5">
        <w:rPr>
          <w:sz w:val="21"/>
          <w:szCs w:val="21"/>
        </w:rPr>
        <w:t>s</w:t>
      </w:r>
      <w:r w:rsidRPr="003147D5">
        <w:rPr>
          <w:sz w:val="21"/>
          <w:szCs w:val="21"/>
        </w:rPr>
        <w:t>ites are locations that have been identified by the state or a regional or municipal plan to encourage renewable energy development in areas seen as strategic and beneficial</w:t>
      </w:r>
      <w:r w:rsidR="003203D1" w:rsidRPr="003147D5">
        <w:rPr>
          <w:sz w:val="21"/>
          <w:szCs w:val="21"/>
        </w:rPr>
        <w:t xml:space="preserve"> to the local community</w:t>
      </w:r>
      <w:r w:rsidRPr="003147D5">
        <w:rPr>
          <w:sz w:val="21"/>
          <w:szCs w:val="21"/>
        </w:rPr>
        <w:t xml:space="preserve">.  Preferred </w:t>
      </w:r>
      <w:r w:rsidR="003203D1" w:rsidRPr="003147D5">
        <w:rPr>
          <w:sz w:val="21"/>
          <w:szCs w:val="21"/>
        </w:rPr>
        <w:t>s</w:t>
      </w:r>
      <w:r w:rsidRPr="003147D5">
        <w:rPr>
          <w:sz w:val="21"/>
          <w:szCs w:val="21"/>
        </w:rPr>
        <w:t>ites incentivize development through a financial benefit in t</w:t>
      </w:r>
      <w:r w:rsidRPr="00834C7F">
        <w:rPr>
          <w:sz w:val="21"/>
          <w:szCs w:val="21"/>
        </w:rPr>
        <w:t>he form of a favorable purchase rate for every kilowatt hour (kWh) of electricity generated at the site</w:t>
      </w:r>
      <w:r w:rsidR="005122EC" w:rsidRPr="00834C7F">
        <w:rPr>
          <w:sz w:val="21"/>
          <w:szCs w:val="21"/>
        </w:rPr>
        <w:t xml:space="preserve"> and </w:t>
      </w:r>
      <w:r w:rsidR="00E83B6B" w:rsidRPr="00834C7F">
        <w:rPr>
          <w:sz w:val="21"/>
          <w:szCs w:val="21"/>
        </w:rPr>
        <w:t xml:space="preserve">a </w:t>
      </w:r>
      <w:r w:rsidR="005122EC" w:rsidRPr="00834C7F">
        <w:rPr>
          <w:sz w:val="21"/>
          <w:szCs w:val="21"/>
        </w:rPr>
        <w:t>streamlined regulatory process</w:t>
      </w:r>
      <w:r w:rsidRPr="00834C7F">
        <w:rPr>
          <w:sz w:val="21"/>
          <w:szCs w:val="21"/>
        </w:rPr>
        <w:t>.  In other</w:t>
      </w:r>
      <w:r w:rsidRPr="003147D5">
        <w:rPr>
          <w:sz w:val="21"/>
          <w:szCs w:val="21"/>
        </w:rPr>
        <w:t xml:space="preserve"> words,</w:t>
      </w:r>
      <w:r w:rsidR="00004CC1">
        <w:rPr>
          <w:sz w:val="21"/>
          <w:szCs w:val="21"/>
        </w:rPr>
        <w:t xml:space="preserve"> </w:t>
      </w:r>
      <w:r w:rsidR="00004CC1" w:rsidRPr="00004CC1">
        <w:rPr>
          <w:sz w:val="21"/>
          <w:szCs w:val="21"/>
        </w:rPr>
        <w:t xml:space="preserve">renewable energy developers </w:t>
      </w:r>
      <w:r w:rsidRPr="00004CC1">
        <w:rPr>
          <w:sz w:val="21"/>
          <w:szCs w:val="21"/>
        </w:rPr>
        <w:t xml:space="preserve">will find it easier to develop on a </w:t>
      </w:r>
      <w:r w:rsidR="003203D1" w:rsidRPr="00004CC1">
        <w:rPr>
          <w:sz w:val="21"/>
          <w:szCs w:val="21"/>
        </w:rPr>
        <w:t>p</w:t>
      </w:r>
      <w:r w:rsidRPr="00004CC1">
        <w:rPr>
          <w:sz w:val="21"/>
          <w:szCs w:val="21"/>
        </w:rPr>
        <w:t xml:space="preserve">referred </w:t>
      </w:r>
      <w:r w:rsidR="003203D1" w:rsidRPr="00004CC1">
        <w:rPr>
          <w:sz w:val="21"/>
          <w:szCs w:val="21"/>
        </w:rPr>
        <w:t>s</w:t>
      </w:r>
      <w:r w:rsidRPr="00004CC1">
        <w:rPr>
          <w:sz w:val="21"/>
          <w:szCs w:val="21"/>
        </w:rPr>
        <w:t>ite</w:t>
      </w:r>
      <w:r w:rsidR="005122EC" w:rsidRPr="00004CC1">
        <w:rPr>
          <w:sz w:val="21"/>
          <w:szCs w:val="21"/>
        </w:rPr>
        <w:t xml:space="preserve"> and will receive higher reimbursement for the power </w:t>
      </w:r>
      <w:r w:rsidR="00004CC1">
        <w:rPr>
          <w:sz w:val="21"/>
          <w:szCs w:val="21"/>
        </w:rPr>
        <w:t xml:space="preserve">they </w:t>
      </w:r>
      <w:r w:rsidR="005122EC" w:rsidRPr="00004CC1">
        <w:rPr>
          <w:sz w:val="21"/>
          <w:szCs w:val="21"/>
        </w:rPr>
        <w:t>produce</w:t>
      </w:r>
      <w:r w:rsidR="00E83B6B" w:rsidRPr="00004CC1">
        <w:rPr>
          <w:sz w:val="21"/>
          <w:szCs w:val="21"/>
        </w:rPr>
        <w:t xml:space="preserve"> there</w:t>
      </w:r>
      <w:r w:rsidRPr="00004CC1">
        <w:rPr>
          <w:sz w:val="21"/>
          <w:szCs w:val="21"/>
        </w:rPr>
        <w:t>.</w:t>
      </w:r>
      <w:r w:rsidR="00004CC1">
        <w:rPr>
          <w:sz w:val="21"/>
          <w:szCs w:val="21"/>
        </w:rPr>
        <w:t xml:space="preserve">  This incentive can apply to residential roof-mounted solar arrays as well. </w:t>
      </w:r>
    </w:p>
    <w:p w14:paraId="0C03AAC0" w14:textId="59F9E363" w:rsidR="000A2895" w:rsidRPr="00051FD0" w:rsidRDefault="000A2895" w:rsidP="007D2640">
      <w:pPr>
        <w:spacing w:after="0"/>
        <w:rPr>
          <w:sz w:val="10"/>
          <w:szCs w:val="10"/>
        </w:rPr>
      </w:pPr>
    </w:p>
    <w:p w14:paraId="2B1D0190" w14:textId="77777777" w:rsidR="0067622C" w:rsidRDefault="003203D1" w:rsidP="007D2640">
      <w:pPr>
        <w:spacing w:after="0"/>
        <w:rPr>
          <w:sz w:val="21"/>
          <w:szCs w:val="21"/>
        </w:rPr>
      </w:pPr>
      <w:r w:rsidRPr="003147D5">
        <w:rPr>
          <w:sz w:val="21"/>
          <w:szCs w:val="21"/>
        </w:rPr>
        <w:t xml:space="preserve">The Vermont </w:t>
      </w:r>
      <w:r w:rsidR="00DD0BD5" w:rsidRPr="003147D5">
        <w:rPr>
          <w:sz w:val="21"/>
          <w:szCs w:val="21"/>
        </w:rPr>
        <w:t>Legislature</w:t>
      </w:r>
      <w:r w:rsidRPr="003147D5">
        <w:rPr>
          <w:sz w:val="21"/>
          <w:szCs w:val="21"/>
        </w:rPr>
        <w:t xml:space="preserve"> outlined areas it considers preferred sites for the Standard Offer program, and the PUC (Public Utility Commission) has established a similar list for </w:t>
      </w:r>
      <w:r w:rsidR="005F1258" w:rsidRPr="003147D5">
        <w:rPr>
          <w:sz w:val="21"/>
          <w:szCs w:val="21"/>
        </w:rPr>
        <w:t xml:space="preserve">NM </w:t>
      </w:r>
      <w:r w:rsidRPr="003147D5">
        <w:rPr>
          <w:sz w:val="21"/>
          <w:szCs w:val="21"/>
        </w:rPr>
        <w:t>projects in the state.  One of the simplest ways for location</w:t>
      </w:r>
      <w:r w:rsidR="00DD0BD5" w:rsidRPr="003147D5">
        <w:rPr>
          <w:sz w:val="21"/>
          <w:szCs w:val="21"/>
        </w:rPr>
        <w:t>s</w:t>
      </w:r>
      <w:r w:rsidRPr="003147D5">
        <w:rPr>
          <w:sz w:val="21"/>
          <w:szCs w:val="21"/>
        </w:rPr>
        <w:t xml:space="preserve"> to be identified as</w:t>
      </w:r>
      <w:r w:rsidR="00DD0BD5" w:rsidRPr="003147D5">
        <w:rPr>
          <w:sz w:val="21"/>
          <w:szCs w:val="21"/>
        </w:rPr>
        <w:t xml:space="preserve"> </w:t>
      </w:r>
      <w:r w:rsidRPr="003147D5">
        <w:rPr>
          <w:sz w:val="21"/>
          <w:szCs w:val="21"/>
        </w:rPr>
        <w:t>preferred site</w:t>
      </w:r>
      <w:r w:rsidR="00DD0BD5" w:rsidRPr="003147D5">
        <w:rPr>
          <w:sz w:val="21"/>
          <w:szCs w:val="21"/>
        </w:rPr>
        <w:t>s</w:t>
      </w:r>
      <w:r w:rsidRPr="003147D5">
        <w:rPr>
          <w:sz w:val="21"/>
          <w:szCs w:val="21"/>
        </w:rPr>
        <w:t xml:space="preserve"> is for towns to identify them in their municipal plans</w:t>
      </w:r>
      <w:r w:rsidR="0039376E" w:rsidRPr="003147D5">
        <w:rPr>
          <w:sz w:val="21"/>
          <w:szCs w:val="21"/>
        </w:rPr>
        <w:t xml:space="preserve"> or through letter of support</w:t>
      </w:r>
      <w:r w:rsidRPr="003147D5">
        <w:rPr>
          <w:sz w:val="21"/>
          <w:szCs w:val="21"/>
        </w:rPr>
        <w:t xml:space="preserve">.  </w:t>
      </w:r>
      <w:r w:rsidR="00DD0BD5" w:rsidRPr="003147D5">
        <w:rPr>
          <w:sz w:val="21"/>
          <w:szCs w:val="21"/>
        </w:rPr>
        <w:t>F</w:t>
      </w:r>
      <w:r w:rsidR="0039376E" w:rsidRPr="003147D5">
        <w:rPr>
          <w:sz w:val="21"/>
          <w:szCs w:val="21"/>
        </w:rPr>
        <w:t xml:space="preserve">or sites that do not fall into categories already identified in the </w:t>
      </w:r>
      <w:r w:rsidR="005F1258" w:rsidRPr="003147D5">
        <w:rPr>
          <w:sz w:val="21"/>
          <w:szCs w:val="21"/>
        </w:rPr>
        <w:t xml:space="preserve">NM </w:t>
      </w:r>
      <w:r w:rsidR="0039376E" w:rsidRPr="003147D5">
        <w:rPr>
          <w:sz w:val="21"/>
          <w:szCs w:val="21"/>
        </w:rPr>
        <w:t>program, town identification is critical</w:t>
      </w:r>
      <w:r w:rsidR="00DD0BD5" w:rsidRPr="003147D5">
        <w:rPr>
          <w:sz w:val="21"/>
          <w:szCs w:val="21"/>
        </w:rPr>
        <w:t xml:space="preserve"> for a site to be developed – especially in the case of </w:t>
      </w:r>
      <w:proofErr w:type="spellStart"/>
      <w:r w:rsidR="00DD0BD5" w:rsidRPr="003147D5">
        <w:rPr>
          <w:sz w:val="21"/>
          <w:szCs w:val="21"/>
        </w:rPr>
        <w:t>greenfields</w:t>
      </w:r>
      <w:proofErr w:type="spellEnd"/>
      <w:r w:rsidR="00DD0BD5" w:rsidRPr="003147D5">
        <w:rPr>
          <w:sz w:val="21"/>
          <w:szCs w:val="21"/>
        </w:rPr>
        <w:t xml:space="preserve"> (previously undeveloped areas)</w:t>
      </w:r>
      <w:r w:rsidR="0039376E" w:rsidRPr="003147D5">
        <w:rPr>
          <w:sz w:val="21"/>
          <w:szCs w:val="21"/>
        </w:rPr>
        <w:t xml:space="preserve">.  </w:t>
      </w:r>
      <w:r w:rsidR="00DD0BD5" w:rsidRPr="003147D5">
        <w:rPr>
          <w:sz w:val="21"/>
          <w:szCs w:val="21"/>
        </w:rPr>
        <w:t>With t</w:t>
      </w:r>
      <w:r w:rsidRPr="003147D5">
        <w:rPr>
          <w:sz w:val="21"/>
          <w:szCs w:val="21"/>
        </w:rPr>
        <w:t>his option</w:t>
      </w:r>
      <w:r w:rsidR="00DD0BD5" w:rsidRPr="003147D5">
        <w:rPr>
          <w:sz w:val="21"/>
          <w:szCs w:val="21"/>
        </w:rPr>
        <w:t>,</w:t>
      </w:r>
      <w:r w:rsidRPr="003147D5">
        <w:rPr>
          <w:sz w:val="21"/>
          <w:szCs w:val="21"/>
        </w:rPr>
        <w:t xml:space="preserve"> towns </w:t>
      </w:r>
      <w:r w:rsidR="00DD0BD5" w:rsidRPr="003147D5">
        <w:rPr>
          <w:sz w:val="21"/>
          <w:szCs w:val="21"/>
        </w:rPr>
        <w:t xml:space="preserve">have </w:t>
      </w:r>
      <w:r w:rsidR="000B3267" w:rsidRPr="003147D5">
        <w:rPr>
          <w:sz w:val="21"/>
          <w:szCs w:val="21"/>
        </w:rPr>
        <w:t>considerable</w:t>
      </w:r>
      <w:r w:rsidRPr="003147D5">
        <w:rPr>
          <w:sz w:val="21"/>
          <w:szCs w:val="21"/>
        </w:rPr>
        <w:t xml:space="preserve"> power to decide where and how renewable energy </w:t>
      </w:r>
      <w:r w:rsidR="000B3267" w:rsidRPr="003147D5">
        <w:rPr>
          <w:sz w:val="21"/>
          <w:szCs w:val="21"/>
        </w:rPr>
        <w:t>facilities</w:t>
      </w:r>
      <w:r w:rsidRPr="003147D5">
        <w:rPr>
          <w:sz w:val="21"/>
          <w:szCs w:val="21"/>
        </w:rPr>
        <w:t xml:space="preserve"> will be sited locally. </w:t>
      </w:r>
    </w:p>
    <w:p w14:paraId="0E708DC1" w14:textId="064AFDDC" w:rsidR="00051FD0" w:rsidRPr="003147D5" w:rsidRDefault="00004CC1" w:rsidP="007D2640">
      <w:pPr>
        <w:spacing w:after="0"/>
        <w:rPr>
          <w:sz w:val="21"/>
          <w:szCs w:val="21"/>
        </w:rPr>
      </w:pPr>
      <w:r w:rsidRPr="002D3CEF">
        <w:rPr>
          <w:b/>
          <w:noProof/>
        </w:rPr>
        <mc:AlternateContent>
          <mc:Choice Requires="wps">
            <w:drawing>
              <wp:anchor distT="45720" distB="45720" distL="114300" distR="114300" simplePos="0" relativeHeight="251656187" behindDoc="0" locked="0" layoutInCell="1" allowOverlap="1" wp14:anchorId="5F340A04" wp14:editId="267ED692">
                <wp:simplePos x="0" y="0"/>
                <wp:positionH relativeFrom="margin">
                  <wp:posOffset>0</wp:posOffset>
                </wp:positionH>
                <wp:positionV relativeFrom="paragraph">
                  <wp:posOffset>24130</wp:posOffset>
                </wp:positionV>
                <wp:extent cx="5924550" cy="6191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19125"/>
                        </a:xfrm>
                        <a:prstGeom prst="rect">
                          <a:avLst/>
                        </a:prstGeom>
                        <a:noFill/>
                        <a:ln w="9525">
                          <a:solidFill>
                            <a:schemeClr val="bg1">
                              <a:lumMod val="75000"/>
                            </a:schemeClr>
                          </a:solidFill>
                          <a:prstDash val="dash"/>
                          <a:miter lim="800000"/>
                          <a:headEnd/>
                          <a:tailEnd/>
                        </a:ln>
                      </wps:spPr>
                      <wps:txbx>
                        <w:txbxContent>
                          <w:p w14:paraId="7B451C90" w14:textId="1871985A" w:rsidR="00051FD0" w:rsidRPr="00051FD0" w:rsidRDefault="00051FD0" w:rsidP="00051FD0">
                            <w:pPr>
                              <w:spacing w:after="0"/>
                              <w:jc w:val="center"/>
                              <w:rPr>
                                <w:color w:val="595959" w:themeColor="text1" w:themeTint="A6"/>
                                <w:sz w:val="16"/>
                                <w:szCs w:val="16"/>
                              </w:rPr>
                            </w:pPr>
                            <w:r w:rsidRPr="00051FD0">
                              <w:rPr>
                                <w:b/>
                                <w:color w:val="595959" w:themeColor="text1" w:themeTint="A6"/>
                                <w:sz w:val="16"/>
                                <w:szCs w:val="16"/>
                              </w:rPr>
                              <w:t>Net-</w:t>
                            </w:r>
                            <w:r>
                              <w:rPr>
                                <w:b/>
                                <w:color w:val="595959" w:themeColor="text1" w:themeTint="A6"/>
                                <w:sz w:val="16"/>
                                <w:szCs w:val="16"/>
                              </w:rPr>
                              <w:t>M</w:t>
                            </w:r>
                            <w:r w:rsidRPr="00051FD0">
                              <w:rPr>
                                <w:b/>
                                <w:color w:val="595959" w:themeColor="text1" w:themeTint="A6"/>
                                <w:sz w:val="16"/>
                                <w:szCs w:val="16"/>
                              </w:rPr>
                              <w:t>etering</w:t>
                            </w:r>
                            <w:r>
                              <w:rPr>
                                <w:b/>
                                <w:color w:val="595959" w:themeColor="text1" w:themeTint="A6"/>
                                <w:sz w:val="16"/>
                                <w:szCs w:val="16"/>
                              </w:rPr>
                              <w:t xml:space="preserve"> (NM)</w:t>
                            </w:r>
                            <w:r w:rsidRPr="00051FD0">
                              <w:rPr>
                                <w:color w:val="595959" w:themeColor="text1" w:themeTint="A6"/>
                                <w:sz w:val="16"/>
                                <w:szCs w:val="16"/>
                              </w:rPr>
                              <w:t>:</w:t>
                            </w:r>
                            <w:r>
                              <w:rPr>
                                <w:color w:val="595959" w:themeColor="text1" w:themeTint="A6"/>
                                <w:sz w:val="16"/>
                                <w:szCs w:val="16"/>
                              </w:rPr>
                              <w:t xml:space="preserve"> a system in which a renewable energy generator</w:t>
                            </w:r>
                            <w:r w:rsidR="00A95168">
                              <w:rPr>
                                <w:color w:val="595959" w:themeColor="text1" w:themeTint="A6"/>
                                <w:sz w:val="16"/>
                                <w:szCs w:val="16"/>
                              </w:rPr>
                              <w:t xml:space="preserve"> is</w:t>
                            </w:r>
                            <w:r>
                              <w:rPr>
                                <w:color w:val="595959" w:themeColor="text1" w:themeTint="A6"/>
                                <w:sz w:val="16"/>
                                <w:szCs w:val="16"/>
                              </w:rPr>
                              <w:t xml:space="preserve"> connected to a public-utility power grid and surplus power is transferred onto the grid, allowing customers to offset the cost of power drawn from the utility. </w:t>
                            </w:r>
                          </w:p>
                          <w:p w14:paraId="57AD8A17" w14:textId="1F2C22F0" w:rsidR="00B62621" w:rsidRPr="00051FD0" w:rsidRDefault="00B62621" w:rsidP="00051FD0">
                            <w:pPr>
                              <w:spacing w:after="0"/>
                              <w:jc w:val="center"/>
                              <w:rPr>
                                <w:color w:val="595959" w:themeColor="text1" w:themeTint="A6"/>
                                <w:sz w:val="16"/>
                                <w:szCs w:val="16"/>
                              </w:rPr>
                            </w:pPr>
                            <w:r w:rsidRPr="00051FD0">
                              <w:rPr>
                                <w:b/>
                                <w:color w:val="595959" w:themeColor="text1" w:themeTint="A6"/>
                                <w:sz w:val="16"/>
                                <w:szCs w:val="16"/>
                              </w:rPr>
                              <w:t>Standard-Offer Program</w:t>
                            </w:r>
                            <w:r w:rsidRPr="00051FD0">
                              <w:rPr>
                                <w:color w:val="595959" w:themeColor="text1" w:themeTint="A6"/>
                                <w:sz w:val="16"/>
                                <w:szCs w:val="16"/>
                              </w:rPr>
                              <w:t xml:space="preserve">: pursuant to 30 VSA §8005a, this </w:t>
                            </w:r>
                            <w:r w:rsidR="00051FD0" w:rsidRPr="00051FD0">
                              <w:rPr>
                                <w:color w:val="595959" w:themeColor="text1" w:themeTint="A6"/>
                                <w:sz w:val="16"/>
                                <w:szCs w:val="16"/>
                              </w:rPr>
                              <w:t xml:space="preserve">state </w:t>
                            </w:r>
                            <w:r w:rsidRPr="00051FD0">
                              <w:rPr>
                                <w:color w:val="595959" w:themeColor="text1" w:themeTint="A6"/>
                                <w:sz w:val="16"/>
                                <w:szCs w:val="16"/>
                              </w:rPr>
                              <w:t xml:space="preserve">program promotes the rapid deployment of renewable generation facilities with a capacity of 2.2 MW or less through a competitive bid process.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40A04" id="_x0000_s1030" type="#_x0000_t202" style="position:absolute;margin-left:0;margin-top:1.9pt;width:466.5pt;height:48.75pt;z-index:25165618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" filled="f" strokecolor="#bfbfbf [2412]">
                <v:stroke dashstyle="dash"/>
                <v:textbox>
                  <w:txbxContent>
                    <w:p w14:paraId="7B451C90" w14:textId="1871985A" w:rsidR="00051FD0" w:rsidRPr="00051FD0" w:rsidRDefault="00051FD0" w:rsidP="00051FD0">
                      <w:pPr>
                        <w:spacing w:after="0"/>
                        <w:jc w:val="center"/>
                        <w:rPr>
                          <w:color w:val="595959" w:themeColor="text1" w:themeTint="A6"/>
                          <w:sz w:val="16"/>
                          <w:szCs w:val="16"/>
                        </w:rPr>
                      </w:pPr>
                      <w:r w:rsidRPr="00051FD0">
                        <w:rPr>
                          <w:b/>
                          <w:color w:val="595959" w:themeColor="text1" w:themeTint="A6"/>
                          <w:sz w:val="16"/>
                          <w:szCs w:val="16"/>
                        </w:rPr>
                        <w:t>Net-</w:t>
                      </w:r>
                      <w:r>
                        <w:rPr>
                          <w:b/>
                          <w:color w:val="595959" w:themeColor="text1" w:themeTint="A6"/>
                          <w:sz w:val="16"/>
                          <w:szCs w:val="16"/>
                        </w:rPr>
                        <w:t>M</w:t>
                      </w:r>
                      <w:r w:rsidRPr="00051FD0">
                        <w:rPr>
                          <w:b/>
                          <w:color w:val="595959" w:themeColor="text1" w:themeTint="A6"/>
                          <w:sz w:val="16"/>
                          <w:szCs w:val="16"/>
                        </w:rPr>
                        <w:t>etering</w:t>
                      </w:r>
                      <w:r>
                        <w:rPr>
                          <w:b/>
                          <w:color w:val="595959" w:themeColor="text1" w:themeTint="A6"/>
                          <w:sz w:val="16"/>
                          <w:szCs w:val="16"/>
                        </w:rPr>
                        <w:t xml:space="preserve"> (NM)</w:t>
                      </w:r>
                      <w:r w:rsidRPr="00051FD0">
                        <w:rPr>
                          <w:color w:val="595959" w:themeColor="text1" w:themeTint="A6"/>
                          <w:sz w:val="16"/>
                          <w:szCs w:val="16"/>
                        </w:rPr>
                        <w:t>:</w:t>
                      </w:r>
                      <w:r>
                        <w:rPr>
                          <w:color w:val="595959" w:themeColor="text1" w:themeTint="A6"/>
                          <w:sz w:val="16"/>
                          <w:szCs w:val="16"/>
                        </w:rPr>
                        <w:t xml:space="preserve"> a system in which a renewable energy generator</w:t>
                      </w:r>
                      <w:r w:rsidR="00A95168">
                        <w:rPr>
                          <w:color w:val="595959" w:themeColor="text1" w:themeTint="A6"/>
                          <w:sz w:val="16"/>
                          <w:szCs w:val="16"/>
                        </w:rPr>
                        <w:t xml:space="preserve"> is</w:t>
                      </w:r>
                      <w:r>
                        <w:rPr>
                          <w:color w:val="595959" w:themeColor="text1" w:themeTint="A6"/>
                          <w:sz w:val="16"/>
                          <w:szCs w:val="16"/>
                        </w:rPr>
                        <w:t xml:space="preserve"> connected to a public-utility power grid and surplus power is transferred onto the grid, allowing customers to offset the cost of power drawn from the utility. </w:t>
                      </w:r>
                    </w:p>
                    <w:p w14:paraId="57AD8A17" w14:textId="1F2C22F0" w:rsidR="00B62621" w:rsidRPr="00051FD0" w:rsidRDefault="00B62621" w:rsidP="00051FD0">
                      <w:pPr>
                        <w:spacing w:after="0"/>
                        <w:jc w:val="center"/>
                        <w:rPr>
                          <w:color w:val="595959" w:themeColor="text1" w:themeTint="A6"/>
                          <w:sz w:val="16"/>
                          <w:szCs w:val="16"/>
                        </w:rPr>
                      </w:pPr>
                      <w:r w:rsidRPr="00051FD0">
                        <w:rPr>
                          <w:b/>
                          <w:color w:val="595959" w:themeColor="text1" w:themeTint="A6"/>
                          <w:sz w:val="16"/>
                          <w:szCs w:val="16"/>
                        </w:rPr>
                        <w:t>Standard-Offer Program</w:t>
                      </w:r>
                      <w:r w:rsidRPr="00051FD0">
                        <w:rPr>
                          <w:color w:val="595959" w:themeColor="text1" w:themeTint="A6"/>
                          <w:sz w:val="16"/>
                          <w:szCs w:val="16"/>
                        </w:rPr>
                        <w:t xml:space="preserve">: pursuant to 30 VSA §8005a, this </w:t>
                      </w:r>
                      <w:r w:rsidR="00051FD0" w:rsidRPr="00051FD0">
                        <w:rPr>
                          <w:color w:val="595959" w:themeColor="text1" w:themeTint="A6"/>
                          <w:sz w:val="16"/>
                          <w:szCs w:val="16"/>
                        </w:rPr>
                        <w:t xml:space="preserve">state </w:t>
                      </w:r>
                      <w:r w:rsidRPr="00051FD0">
                        <w:rPr>
                          <w:color w:val="595959" w:themeColor="text1" w:themeTint="A6"/>
                          <w:sz w:val="16"/>
                          <w:szCs w:val="16"/>
                        </w:rPr>
                        <w:t xml:space="preserve">program promotes the rapid deployment of renewable generation facilities with a capacity of 2.2 MW or less through a competitive bid process.  </w:t>
                      </w:r>
                    </w:p>
                  </w:txbxContent>
                </v:textbox>
                <w10:wrap anchorx="margin"/>
              </v:shape>
            </w:pict>
          </mc:Fallback>
        </mc:AlternateContent>
      </w:r>
      <w:r>
        <w:rPr>
          <w:b/>
          <w:noProof/>
        </w:rPr>
        <mc:AlternateContent>
          <mc:Choice Requires="wps">
            <w:drawing>
              <wp:anchor distT="0" distB="0" distL="114300" distR="114300" simplePos="0" relativeHeight="251655162" behindDoc="0" locked="0" layoutInCell="1" allowOverlap="1" wp14:anchorId="2123B842" wp14:editId="338F1C23">
                <wp:simplePos x="0" y="0"/>
                <wp:positionH relativeFrom="margin">
                  <wp:posOffset>0</wp:posOffset>
                </wp:positionH>
                <wp:positionV relativeFrom="paragraph">
                  <wp:posOffset>24130</wp:posOffset>
                </wp:positionV>
                <wp:extent cx="5915025" cy="6191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5915025" cy="619125"/>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5767D" id="Rectangle 5" o:spid="_x0000_s1026" style="position:absolute;margin-left:0;margin-top:1.9pt;width:465.75pt;height:48.75pt;z-index:2516551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" fillcolor="#f2f2f2 [3052]" strokecolor="#d8d8d8 [2732]" strokeweight="1pt">
                <w10:wrap anchorx="margin"/>
              </v:rect>
            </w:pict>
          </mc:Fallback>
        </mc:AlternateContent>
      </w:r>
    </w:p>
    <w:p w14:paraId="5DC06858" w14:textId="63187BC7" w:rsidR="0054436A" w:rsidRDefault="0054436A" w:rsidP="007D2640">
      <w:pPr>
        <w:spacing w:before="160" w:after="0"/>
        <w:rPr>
          <w:b/>
        </w:rPr>
      </w:pPr>
    </w:p>
    <w:p w14:paraId="503F5B5D" w14:textId="288E47BD" w:rsidR="0069151D" w:rsidRDefault="0069151D" w:rsidP="007D2640">
      <w:pPr>
        <w:spacing w:before="160" w:after="0"/>
        <w:rPr>
          <w:b/>
        </w:rPr>
      </w:pPr>
      <w:r>
        <w:rPr>
          <w:b/>
        </w:rPr>
        <w:lastRenderedPageBreak/>
        <w:t>How are Preferred Sites identified?</w:t>
      </w:r>
      <w:r w:rsidR="0034287C">
        <w:rPr>
          <w:b/>
        </w:rPr>
        <w:t xml:space="preserve"> </w:t>
      </w:r>
    </w:p>
    <w:p w14:paraId="597ED56B" w14:textId="702F1D17" w:rsidR="00B0107D" w:rsidRPr="003147D5" w:rsidRDefault="0069151D">
      <w:pPr>
        <w:rPr>
          <w:sz w:val="21"/>
          <w:szCs w:val="21"/>
        </w:rPr>
      </w:pPr>
      <w:r w:rsidRPr="003147D5">
        <w:rPr>
          <w:sz w:val="21"/>
          <w:szCs w:val="21"/>
        </w:rPr>
        <w:t xml:space="preserve">Preferred </w:t>
      </w:r>
      <w:r w:rsidR="0067622C" w:rsidRPr="003147D5">
        <w:rPr>
          <w:sz w:val="21"/>
          <w:szCs w:val="21"/>
        </w:rPr>
        <w:t>s</w:t>
      </w:r>
      <w:r w:rsidRPr="003147D5">
        <w:rPr>
          <w:sz w:val="21"/>
          <w:szCs w:val="21"/>
        </w:rPr>
        <w:t xml:space="preserve">ites are identified through a </w:t>
      </w:r>
      <w:r w:rsidR="00322587" w:rsidRPr="003147D5">
        <w:rPr>
          <w:sz w:val="21"/>
          <w:szCs w:val="21"/>
        </w:rPr>
        <w:t xml:space="preserve">rigorous </w:t>
      </w:r>
      <w:r w:rsidRPr="003147D5">
        <w:rPr>
          <w:sz w:val="21"/>
          <w:szCs w:val="21"/>
        </w:rPr>
        <w:t xml:space="preserve">mapping exercise and municipal vetting process.  </w:t>
      </w:r>
      <w:r w:rsidR="00322587" w:rsidRPr="003147D5">
        <w:rPr>
          <w:sz w:val="21"/>
          <w:szCs w:val="21"/>
        </w:rPr>
        <w:t>Potential sites</w:t>
      </w:r>
      <w:r w:rsidRPr="003147D5">
        <w:rPr>
          <w:sz w:val="21"/>
          <w:szCs w:val="21"/>
        </w:rPr>
        <w:t xml:space="preserve"> </w:t>
      </w:r>
      <w:r w:rsidR="00B0107D" w:rsidRPr="003147D5">
        <w:rPr>
          <w:sz w:val="21"/>
          <w:szCs w:val="21"/>
        </w:rPr>
        <w:t>are</w:t>
      </w:r>
      <w:r w:rsidRPr="003147D5">
        <w:rPr>
          <w:sz w:val="21"/>
          <w:szCs w:val="21"/>
        </w:rPr>
        <w:t xml:space="preserve"> identified from areas that have sufficient renewable resource (such as solar radiation or wind velocities) and are not likely constrained by environmental barriers to development (such as the presence of wetlands or rare species habitat).  The Town of </w:t>
      </w:r>
      <w:r w:rsidR="00104AB4">
        <w:rPr>
          <w:sz w:val="21"/>
          <w:szCs w:val="21"/>
        </w:rPr>
        <w:t>______</w:t>
      </w:r>
      <w:r w:rsidRPr="003147D5">
        <w:rPr>
          <w:sz w:val="21"/>
          <w:szCs w:val="21"/>
        </w:rPr>
        <w:t xml:space="preserve"> is currently contacting landowners of </w:t>
      </w:r>
      <w:r w:rsidR="00B0107D" w:rsidRPr="003147D5">
        <w:rPr>
          <w:sz w:val="21"/>
          <w:szCs w:val="21"/>
        </w:rPr>
        <w:t>potential</w:t>
      </w:r>
      <w:r w:rsidRPr="003147D5">
        <w:rPr>
          <w:sz w:val="21"/>
          <w:szCs w:val="21"/>
        </w:rPr>
        <w:t xml:space="preserve"> </w:t>
      </w:r>
      <w:r w:rsidR="00B0107D" w:rsidRPr="003147D5">
        <w:rPr>
          <w:sz w:val="21"/>
          <w:szCs w:val="21"/>
        </w:rPr>
        <w:t>sites</w:t>
      </w:r>
      <w:r w:rsidRPr="003147D5">
        <w:rPr>
          <w:sz w:val="21"/>
          <w:szCs w:val="21"/>
        </w:rPr>
        <w:t xml:space="preserve"> to inform them of the process and get input on the value of their property as a </w:t>
      </w:r>
      <w:r w:rsidR="000B3267" w:rsidRPr="003147D5">
        <w:rPr>
          <w:sz w:val="21"/>
          <w:szCs w:val="21"/>
        </w:rPr>
        <w:t>p</w:t>
      </w:r>
      <w:r w:rsidRPr="003147D5">
        <w:rPr>
          <w:sz w:val="21"/>
          <w:szCs w:val="21"/>
        </w:rPr>
        <w:t xml:space="preserve">referred </w:t>
      </w:r>
      <w:r w:rsidR="000B3267" w:rsidRPr="003147D5">
        <w:rPr>
          <w:sz w:val="21"/>
          <w:szCs w:val="21"/>
        </w:rPr>
        <w:t>s</w:t>
      </w:r>
      <w:r w:rsidRPr="003147D5">
        <w:rPr>
          <w:sz w:val="21"/>
          <w:szCs w:val="21"/>
        </w:rPr>
        <w:t>ite</w:t>
      </w:r>
      <w:r w:rsidR="00304E6A" w:rsidRPr="003147D5">
        <w:rPr>
          <w:sz w:val="21"/>
          <w:szCs w:val="21"/>
        </w:rPr>
        <w:t xml:space="preserve"> for renewable energy development</w:t>
      </w:r>
      <w:r w:rsidRPr="003147D5">
        <w:rPr>
          <w:sz w:val="21"/>
          <w:szCs w:val="21"/>
        </w:rPr>
        <w:t xml:space="preserve">. </w:t>
      </w:r>
      <w:r w:rsidR="009E12A5" w:rsidRPr="003147D5">
        <w:rPr>
          <w:sz w:val="21"/>
          <w:szCs w:val="21"/>
        </w:rPr>
        <w:t xml:space="preserve"> Property owners interested in their land being available for renewable energy development at some point in the future are encouraged to consider this designation to make their </w:t>
      </w:r>
      <w:r w:rsidR="000245AC">
        <w:rPr>
          <w:sz w:val="21"/>
          <w:szCs w:val="21"/>
        </w:rPr>
        <w:t>interest</w:t>
      </w:r>
      <w:r w:rsidR="009E12A5" w:rsidRPr="003147D5">
        <w:rPr>
          <w:sz w:val="21"/>
          <w:szCs w:val="21"/>
        </w:rPr>
        <w:t xml:space="preserve"> known to the town and neighbors.</w:t>
      </w:r>
    </w:p>
    <w:p w14:paraId="5072DDB6" w14:textId="1D5C601C" w:rsidR="00A32957" w:rsidRPr="003147D5" w:rsidRDefault="00A32957" w:rsidP="007D2640">
      <w:pPr>
        <w:spacing w:after="0"/>
        <w:rPr>
          <w:b/>
        </w:rPr>
      </w:pPr>
      <w:r w:rsidRPr="003147D5">
        <w:rPr>
          <w:b/>
        </w:rPr>
        <w:t>Does being a Preferred Site require me to develop my land</w:t>
      </w:r>
      <w:r w:rsidR="005D201B" w:rsidRPr="003147D5">
        <w:rPr>
          <w:b/>
        </w:rPr>
        <w:t xml:space="preserve"> for renewable energy</w:t>
      </w:r>
      <w:r w:rsidRPr="003147D5">
        <w:rPr>
          <w:b/>
        </w:rPr>
        <w:t>?</w:t>
      </w:r>
      <w:r w:rsidR="003B3E91" w:rsidRPr="003147D5">
        <w:rPr>
          <w:b/>
        </w:rPr>
        <w:t xml:space="preserve"> </w:t>
      </w:r>
    </w:p>
    <w:p w14:paraId="3828A5D3" w14:textId="5262F094" w:rsidR="00A32957" w:rsidRPr="003147D5" w:rsidRDefault="00A32957">
      <w:pPr>
        <w:rPr>
          <w:sz w:val="21"/>
          <w:szCs w:val="21"/>
        </w:rPr>
      </w:pPr>
      <w:r w:rsidRPr="003147D5">
        <w:rPr>
          <w:sz w:val="21"/>
          <w:szCs w:val="21"/>
        </w:rPr>
        <w:t xml:space="preserve">No, but it makes it more likely that you will be contacted by developers looking to </w:t>
      </w:r>
      <w:r w:rsidR="00322587" w:rsidRPr="003147D5">
        <w:rPr>
          <w:sz w:val="21"/>
          <w:szCs w:val="21"/>
        </w:rPr>
        <w:t>site</w:t>
      </w:r>
      <w:r w:rsidRPr="003147D5">
        <w:rPr>
          <w:sz w:val="21"/>
          <w:szCs w:val="21"/>
        </w:rPr>
        <w:t xml:space="preserve"> renewable energy facilities</w:t>
      </w:r>
      <w:r w:rsidR="00322587" w:rsidRPr="003147D5">
        <w:rPr>
          <w:sz w:val="21"/>
          <w:szCs w:val="21"/>
        </w:rPr>
        <w:t xml:space="preserve"> in the area</w:t>
      </w:r>
      <w:r w:rsidRPr="003147D5">
        <w:rPr>
          <w:sz w:val="21"/>
          <w:szCs w:val="21"/>
        </w:rPr>
        <w:t xml:space="preserve">.  If you </w:t>
      </w:r>
      <w:r w:rsidR="003B3E91" w:rsidRPr="003147D5">
        <w:rPr>
          <w:sz w:val="21"/>
          <w:szCs w:val="21"/>
        </w:rPr>
        <w:t xml:space="preserve">are contacted by a developer, but </w:t>
      </w:r>
      <w:r w:rsidRPr="003147D5">
        <w:rPr>
          <w:sz w:val="21"/>
          <w:szCs w:val="21"/>
        </w:rPr>
        <w:t xml:space="preserve">do not wish to develop your land, you will </w:t>
      </w:r>
      <w:r w:rsidR="00A114C9" w:rsidRPr="003147D5">
        <w:rPr>
          <w:sz w:val="21"/>
          <w:szCs w:val="21"/>
          <w:u w:val="single"/>
        </w:rPr>
        <w:t>NOT</w:t>
      </w:r>
      <w:r w:rsidRPr="003147D5">
        <w:rPr>
          <w:sz w:val="21"/>
          <w:szCs w:val="21"/>
        </w:rPr>
        <w:t xml:space="preserve"> be </w:t>
      </w:r>
      <w:r w:rsidR="00304E6A" w:rsidRPr="003147D5">
        <w:rPr>
          <w:sz w:val="21"/>
          <w:szCs w:val="21"/>
        </w:rPr>
        <w:t>legally or otherwise bound</w:t>
      </w:r>
      <w:r w:rsidRPr="003147D5">
        <w:rPr>
          <w:sz w:val="21"/>
          <w:szCs w:val="21"/>
        </w:rPr>
        <w:t xml:space="preserve"> to do so.  </w:t>
      </w:r>
      <w:r w:rsidR="00ED2C21" w:rsidRPr="003147D5">
        <w:rPr>
          <w:sz w:val="21"/>
          <w:szCs w:val="21"/>
        </w:rPr>
        <w:t>Ideally, h</w:t>
      </w:r>
      <w:r w:rsidR="00322587" w:rsidRPr="003147D5">
        <w:rPr>
          <w:sz w:val="21"/>
          <w:szCs w:val="21"/>
        </w:rPr>
        <w:t>owever,</w:t>
      </w:r>
      <w:r w:rsidR="00ED2C21" w:rsidRPr="003147D5">
        <w:rPr>
          <w:sz w:val="21"/>
          <w:szCs w:val="21"/>
        </w:rPr>
        <w:t xml:space="preserve"> </w:t>
      </w:r>
      <w:r w:rsidR="00304E6A" w:rsidRPr="003147D5">
        <w:rPr>
          <w:sz w:val="21"/>
          <w:szCs w:val="21"/>
        </w:rPr>
        <w:t>a</w:t>
      </w:r>
      <w:r w:rsidR="00322587" w:rsidRPr="003147D5">
        <w:rPr>
          <w:sz w:val="21"/>
          <w:szCs w:val="21"/>
        </w:rPr>
        <w:t xml:space="preserve"> </w:t>
      </w:r>
      <w:r w:rsidR="0067622C" w:rsidRPr="003147D5">
        <w:rPr>
          <w:sz w:val="21"/>
          <w:szCs w:val="21"/>
        </w:rPr>
        <w:t>p</w:t>
      </w:r>
      <w:r w:rsidR="00322587" w:rsidRPr="003147D5">
        <w:rPr>
          <w:sz w:val="21"/>
          <w:szCs w:val="21"/>
        </w:rPr>
        <w:t xml:space="preserve">referred </w:t>
      </w:r>
      <w:r w:rsidR="0067622C" w:rsidRPr="003147D5">
        <w:rPr>
          <w:sz w:val="21"/>
          <w:szCs w:val="21"/>
        </w:rPr>
        <w:t>s</w:t>
      </w:r>
      <w:r w:rsidR="00322587" w:rsidRPr="003147D5">
        <w:rPr>
          <w:sz w:val="21"/>
          <w:szCs w:val="21"/>
        </w:rPr>
        <w:t xml:space="preserve">ite designation </w:t>
      </w:r>
      <w:r w:rsidR="00304E6A" w:rsidRPr="003147D5">
        <w:rPr>
          <w:sz w:val="21"/>
          <w:szCs w:val="21"/>
        </w:rPr>
        <w:t>indicate</w:t>
      </w:r>
      <w:r w:rsidR="00ED2C21" w:rsidRPr="003147D5">
        <w:rPr>
          <w:sz w:val="21"/>
          <w:szCs w:val="21"/>
        </w:rPr>
        <w:t>s</w:t>
      </w:r>
      <w:r w:rsidR="00304E6A" w:rsidRPr="003147D5">
        <w:rPr>
          <w:sz w:val="21"/>
          <w:szCs w:val="21"/>
        </w:rPr>
        <w:t xml:space="preserve"> openness on the part of the town and property owners to </w:t>
      </w:r>
      <w:r w:rsidR="0067622C" w:rsidRPr="003147D5">
        <w:rPr>
          <w:sz w:val="21"/>
          <w:szCs w:val="21"/>
        </w:rPr>
        <w:t>future</w:t>
      </w:r>
      <w:r w:rsidR="00304E6A" w:rsidRPr="003147D5">
        <w:rPr>
          <w:sz w:val="21"/>
          <w:szCs w:val="21"/>
        </w:rPr>
        <w:t xml:space="preserve"> developm</w:t>
      </w:r>
      <w:bookmarkStart w:id="0" w:name="_GoBack"/>
      <w:bookmarkEnd w:id="0"/>
      <w:r w:rsidR="00304E6A" w:rsidRPr="003147D5">
        <w:rPr>
          <w:sz w:val="21"/>
          <w:szCs w:val="21"/>
        </w:rPr>
        <w:t>ent</w:t>
      </w:r>
      <w:r w:rsidR="00A114C9" w:rsidRPr="003147D5">
        <w:rPr>
          <w:sz w:val="21"/>
          <w:szCs w:val="21"/>
        </w:rPr>
        <w:t xml:space="preserve"> at the site</w:t>
      </w:r>
      <w:r w:rsidR="00304E6A" w:rsidRPr="003147D5">
        <w:rPr>
          <w:sz w:val="21"/>
          <w:szCs w:val="21"/>
        </w:rPr>
        <w:t xml:space="preserve">. </w:t>
      </w:r>
    </w:p>
    <w:p w14:paraId="7D10B29B" w14:textId="4D36037F" w:rsidR="00A32957" w:rsidRPr="00A32957" w:rsidRDefault="00A114C9" w:rsidP="007D2640">
      <w:pPr>
        <w:spacing w:after="0"/>
        <w:rPr>
          <w:b/>
        </w:rPr>
      </w:pPr>
      <w:r>
        <w:rPr>
          <w:b/>
        </w:rPr>
        <w:t>How w</w:t>
      </w:r>
      <w:r w:rsidR="00A32957">
        <w:rPr>
          <w:b/>
        </w:rPr>
        <w:t>ill</w:t>
      </w:r>
      <w:r w:rsidR="00A32957" w:rsidRPr="00A32957">
        <w:rPr>
          <w:b/>
        </w:rPr>
        <w:t xml:space="preserve"> being a Preferred Site affect my property’s value?</w:t>
      </w:r>
      <w:r w:rsidR="003B3E91">
        <w:rPr>
          <w:b/>
        </w:rPr>
        <w:t xml:space="preserve"> </w:t>
      </w:r>
    </w:p>
    <w:p w14:paraId="05DD5176" w14:textId="20E669DC" w:rsidR="00B119D7" w:rsidRPr="003147D5" w:rsidRDefault="00A32957" w:rsidP="000A2895">
      <w:pPr>
        <w:rPr>
          <w:sz w:val="21"/>
          <w:szCs w:val="21"/>
        </w:rPr>
      </w:pPr>
      <w:r w:rsidRPr="003147D5">
        <w:rPr>
          <w:sz w:val="21"/>
          <w:szCs w:val="21"/>
        </w:rPr>
        <w:t xml:space="preserve">Not clear. </w:t>
      </w:r>
      <w:r w:rsidR="00A114C9" w:rsidRPr="003147D5">
        <w:rPr>
          <w:sz w:val="21"/>
          <w:szCs w:val="21"/>
        </w:rPr>
        <w:t xml:space="preserve"> Given that Act 174 and enhanced energy planning has </w:t>
      </w:r>
      <w:r w:rsidR="001D0C92" w:rsidRPr="003147D5">
        <w:rPr>
          <w:sz w:val="21"/>
          <w:szCs w:val="21"/>
        </w:rPr>
        <w:t>only</w:t>
      </w:r>
      <w:r w:rsidR="00A114C9" w:rsidRPr="003147D5">
        <w:rPr>
          <w:sz w:val="21"/>
          <w:szCs w:val="21"/>
        </w:rPr>
        <w:t xml:space="preserve"> begun</w:t>
      </w:r>
      <w:r w:rsidR="001D0C92" w:rsidRPr="003147D5">
        <w:rPr>
          <w:sz w:val="21"/>
          <w:szCs w:val="21"/>
        </w:rPr>
        <w:t xml:space="preserve"> to develop since the end of 2016</w:t>
      </w:r>
      <w:r w:rsidR="00A114C9" w:rsidRPr="003147D5">
        <w:rPr>
          <w:sz w:val="21"/>
          <w:szCs w:val="21"/>
        </w:rPr>
        <w:t xml:space="preserve">, there is insufficient experience to say how property values </w:t>
      </w:r>
      <w:r w:rsidR="00172742" w:rsidRPr="003147D5">
        <w:rPr>
          <w:sz w:val="21"/>
          <w:szCs w:val="21"/>
        </w:rPr>
        <w:t>will be</w:t>
      </w:r>
      <w:r w:rsidR="00A114C9" w:rsidRPr="003147D5">
        <w:rPr>
          <w:sz w:val="21"/>
          <w:szCs w:val="21"/>
        </w:rPr>
        <w:t xml:space="preserve"> impacted.  </w:t>
      </w:r>
      <w:r w:rsidR="00C003D4" w:rsidRPr="003147D5">
        <w:rPr>
          <w:sz w:val="21"/>
          <w:szCs w:val="21"/>
        </w:rPr>
        <w:t xml:space="preserve">It may be helpful, though, to think of a </w:t>
      </w:r>
      <w:r w:rsidR="0067622C" w:rsidRPr="003147D5">
        <w:rPr>
          <w:sz w:val="21"/>
          <w:szCs w:val="21"/>
        </w:rPr>
        <w:t>p</w:t>
      </w:r>
      <w:r w:rsidR="00C003D4" w:rsidRPr="003147D5">
        <w:rPr>
          <w:sz w:val="21"/>
          <w:szCs w:val="21"/>
        </w:rPr>
        <w:t xml:space="preserve">referred </w:t>
      </w:r>
      <w:r w:rsidR="0067622C" w:rsidRPr="003147D5">
        <w:rPr>
          <w:sz w:val="21"/>
          <w:szCs w:val="21"/>
        </w:rPr>
        <w:t>s</w:t>
      </w:r>
      <w:r w:rsidR="00C003D4" w:rsidRPr="003147D5">
        <w:rPr>
          <w:sz w:val="21"/>
          <w:szCs w:val="21"/>
        </w:rPr>
        <w:t>ite d</w:t>
      </w:r>
      <w:r w:rsidR="00ED2C21" w:rsidRPr="003147D5">
        <w:rPr>
          <w:sz w:val="21"/>
          <w:szCs w:val="21"/>
        </w:rPr>
        <w:t xml:space="preserve">esignation </w:t>
      </w:r>
      <w:r w:rsidR="00C003D4" w:rsidRPr="003147D5">
        <w:rPr>
          <w:sz w:val="21"/>
          <w:szCs w:val="21"/>
        </w:rPr>
        <w:t>as one would</w:t>
      </w:r>
      <w:r w:rsidR="00ED2C21" w:rsidRPr="003147D5">
        <w:rPr>
          <w:sz w:val="21"/>
          <w:szCs w:val="21"/>
        </w:rPr>
        <w:t xml:space="preserve"> a </w:t>
      </w:r>
      <w:r w:rsidR="00C003D4" w:rsidRPr="003147D5">
        <w:rPr>
          <w:sz w:val="21"/>
          <w:szCs w:val="21"/>
        </w:rPr>
        <w:t>municipal</w:t>
      </w:r>
      <w:r w:rsidR="00ED2C21" w:rsidRPr="003147D5">
        <w:rPr>
          <w:sz w:val="21"/>
          <w:szCs w:val="21"/>
        </w:rPr>
        <w:t xml:space="preserve"> zoning change. </w:t>
      </w:r>
      <w:r w:rsidR="00C003D4" w:rsidRPr="003147D5">
        <w:rPr>
          <w:sz w:val="21"/>
          <w:szCs w:val="21"/>
        </w:rPr>
        <w:t xml:space="preserve"> </w:t>
      </w:r>
      <w:r w:rsidR="00B119D7" w:rsidRPr="003147D5">
        <w:rPr>
          <w:sz w:val="21"/>
          <w:szCs w:val="21"/>
        </w:rPr>
        <w:t xml:space="preserve">The designation alters what development possibilities prospective buyers may see at the property, but it does not </w:t>
      </w:r>
      <w:r w:rsidR="00172742" w:rsidRPr="003147D5">
        <w:rPr>
          <w:sz w:val="21"/>
          <w:szCs w:val="21"/>
        </w:rPr>
        <w:t>alter</w:t>
      </w:r>
      <w:r w:rsidR="00B119D7" w:rsidRPr="003147D5">
        <w:rPr>
          <w:sz w:val="21"/>
          <w:szCs w:val="21"/>
        </w:rPr>
        <w:t xml:space="preserve"> its inherent value. </w:t>
      </w:r>
    </w:p>
    <w:p w14:paraId="5753050A" w14:textId="71FCA77B" w:rsidR="003B3E91" w:rsidRPr="00A32957" w:rsidRDefault="00B119D7" w:rsidP="007D2640">
      <w:pPr>
        <w:spacing w:after="0"/>
        <w:rPr>
          <w:b/>
        </w:rPr>
      </w:pPr>
      <w:r w:rsidRPr="003147D5">
        <w:rPr>
          <w:b/>
        </w:rPr>
        <w:t>Must</w:t>
      </w:r>
      <w:r w:rsidR="003B3E91" w:rsidRPr="003147D5">
        <w:rPr>
          <w:b/>
        </w:rPr>
        <w:t xml:space="preserve"> t</w:t>
      </w:r>
      <w:r w:rsidR="003B3E91">
        <w:rPr>
          <w:b/>
        </w:rPr>
        <w:t xml:space="preserve">owns </w:t>
      </w:r>
      <w:r>
        <w:rPr>
          <w:b/>
        </w:rPr>
        <w:t>obtain</w:t>
      </w:r>
      <w:r w:rsidR="003B3E91">
        <w:rPr>
          <w:b/>
        </w:rPr>
        <w:t xml:space="preserve"> landowner consent to designate</w:t>
      </w:r>
      <w:r w:rsidR="003B3E91" w:rsidRPr="00A32957">
        <w:rPr>
          <w:b/>
        </w:rPr>
        <w:t xml:space="preserve"> a </w:t>
      </w:r>
      <w:r w:rsidR="003B3E91">
        <w:rPr>
          <w:b/>
        </w:rPr>
        <w:t>P</w:t>
      </w:r>
      <w:r w:rsidR="003B3E91" w:rsidRPr="00A32957">
        <w:rPr>
          <w:b/>
        </w:rPr>
        <w:t xml:space="preserve">referred </w:t>
      </w:r>
      <w:r w:rsidR="003B3E91">
        <w:rPr>
          <w:b/>
        </w:rPr>
        <w:t>S</w:t>
      </w:r>
      <w:r w:rsidR="003B3E91" w:rsidRPr="00A32957">
        <w:rPr>
          <w:b/>
        </w:rPr>
        <w:t>ite?</w:t>
      </w:r>
      <w:r w:rsidR="003B3E91">
        <w:rPr>
          <w:b/>
        </w:rPr>
        <w:t xml:space="preserve"> </w:t>
      </w:r>
    </w:p>
    <w:p w14:paraId="26F53FFA" w14:textId="402CBEBC" w:rsidR="003B3E91" w:rsidRPr="003147D5" w:rsidRDefault="003B3E91" w:rsidP="003B3E91">
      <w:pPr>
        <w:rPr>
          <w:sz w:val="21"/>
          <w:szCs w:val="21"/>
        </w:rPr>
      </w:pPr>
      <w:r w:rsidRPr="003147D5">
        <w:rPr>
          <w:sz w:val="21"/>
          <w:szCs w:val="21"/>
        </w:rPr>
        <w:t xml:space="preserve">No, but it is highly recommended that </w:t>
      </w:r>
      <w:r w:rsidR="00B119D7" w:rsidRPr="003147D5">
        <w:rPr>
          <w:sz w:val="21"/>
          <w:szCs w:val="21"/>
        </w:rPr>
        <w:t xml:space="preserve">towns contact </w:t>
      </w:r>
      <w:r w:rsidRPr="003147D5">
        <w:rPr>
          <w:sz w:val="21"/>
          <w:szCs w:val="21"/>
        </w:rPr>
        <w:t>landowners about the designation and</w:t>
      </w:r>
      <w:r w:rsidR="00B119D7" w:rsidRPr="003147D5">
        <w:rPr>
          <w:sz w:val="21"/>
          <w:szCs w:val="21"/>
        </w:rPr>
        <w:t xml:space="preserve"> obtain</w:t>
      </w:r>
      <w:r w:rsidRPr="003147D5">
        <w:rPr>
          <w:sz w:val="21"/>
          <w:szCs w:val="21"/>
        </w:rPr>
        <w:t xml:space="preserve"> consent</w:t>
      </w:r>
      <w:r w:rsidR="00B119D7" w:rsidRPr="003147D5">
        <w:rPr>
          <w:sz w:val="21"/>
          <w:szCs w:val="21"/>
        </w:rPr>
        <w:t xml:space="preserve"> when possible</w:t>
      </w:r>
      <w:r w:rsidRPr="003147D5">
        <w:rPr>
          <w:sz w:val="21"/>
          <w:szCs w:val="21"/>
        </w:rPr>
        <w:t xml:space="preserve">.  </w:t>
      </w:r>
      <w:r w:rsidR="00B119D7" w:rsidRPr="003147D5">
        <w:rPr>
          <w:sz w:val="21"/>
          <w:szCs w:val="21"/>
        </w:rPr>
        <w:t xml:space="preserve">A town may proceed with a </w:t>
      </w:r>
      <w:r w:rsidR="0067622C" w:rsidRPr="003147D5">
        <w:rPr>
          <w:sz w:val="21"/>
          <w:szCs w:val="21"/>
        </w:rPr>
        <w:t>p</w:t>
      </w:r>
      <w:r w:rsidR="00B119D7" w:rsidRPr="003147D5">
        <w:rPr>
          <w:sz w:val="21"/>
          <w:szCs w:val="21"/>
        </w:rPr>
        <w:t xml:space="preserve">referred </w:t>
      </w:r>
      <w:r w:rsidR="0067622C" w:rsidRPr="003147D5">
        <w:rPr>
          <w:sz w:val="21"/>
          <w:szCs w:val="21"/>
        </w:rPr>
        <w:t>s</w:t>
      </w:r>
      <w:r w:rsidR="00B119D7" w:rsidRPr="003147D5">
        <w:rPr>
          <w:sz w:val="21"/>
          <w:szCs w:val="21"/>
        </w:rPr>
        <w:t xml:space="preserve">ite designation without the consent of the landowner </w:t>
      </w:r>
      <w:r w:rsidR="00980CDD" w:rsidRPr="003147D5">
        <w:rPr>
          <w:sz w:val="21"/>
          <w:szCs w:val="21"/>
        </w:rPr>
        <w:t>in the interest of</w:t>
      </w:r>
      <w:r w:rsidR="00B119D7" w:rsidRPr="003147D5">
        <w:rPr>
          <w:sz w:val="21"/>
          <w:szCs w:val="21"/>
        </w:rPr>
        <w:t xml:space="preserve"> grant</w:t>
      </w:r>
      <w:r w:rsidR="00980CDD" w:rsidRPr="003147D5">
        <w:rPr>
          <w:sz w:val="21"/>
          <w:szCs w:val="21"/>
        </w:rPr>
        <w:t>ing</w:t>
      </w:r>
      <w:r w:rsidR="00B119D7" w:rsidRPr="003147D5">
        <w:rPr>
          <w:sz w:val="21"/>
          <w:szCs w:val="21"/>
        </w:rPr>
        <w:t xml:space="preserve"> any future owners of the site the benefits of the designation.</w:t>
      </w:r>
      <w:r w:rsidR="009E12A5" w:rsidRPr="003147D5">
        <w:rPr>
          <w:sz w:val="21"/>
          <w:szCs w:val="21"/>
        </w:rPr>
        <w:t xml:space="preserve">  </w:t>
      </w:r>
      <w:r w:rsidR="00980CDD" w:rsidRPr="003147D5">
        <w:rPr>
          <w:sz w:val="21"/>
          <w:szCs w:val="21"/>
        </w:rPr>
        <w:t>Again, property owners retain all development rights of their properties and are not obligated to develop their property</w:t>
      </w:r>
      <w:r w:rsidR="003147D5">
        <w:rPr>
          <w:sz w:val="21"/>
          <w:szCs w:val="21"/>
        </w:rPr>
        <w:t>.</w:t>
      </w:r>
      <w:r w:rsidR="00980CDD" w:rsidRPr="003147D5">
        <w:rPr>
          <w:sz w:val="21"/>
          <w:szCs w:val="21"/>
        </w:rPr>
        <w:t xml:space="preserve"> </w:t>
      </w:r>
    </w:p>
    <w:p w14:paraId="4D6D0F03" w14:textId="77777777" w:rsidR="000B3267" w:rsidRDefault="00172742" w:rsidP="000B3267">
      <w:pPr>
        <w:spacing w:after="0"/>
        <w:rPr>
          <w:b/>
        </w:rPr>
      </w:pPr>
      <w:r>
        <w:rPr>
          <w:b/>
        </w:rPr>
        <w:t>Are</w:t>
      </w:r>
      <w:r w:rsidRPr="00172742">
        <w:rPr>
          <w:b/>
        </w:rPr>
        <w:t xml:space="preserve"> Preferred Sites only </w:t>
      </w:r>
      <w:r>
        <w:rPr>
          <w:b/>
        </w:rPr>
        <w:t>for</w:t>
      </w:r>
      <w:r w:rsidRPr="00172742">
        <w:rPr>
          <w:b/>
        </w:rPr>
        <w:t xml:space="preserve"> solar projects? </w:t>
      </w:r>
    </w:p>
    <w:p w14:paraId="32DEC6D5" w14:textId="0517DEBA" w:rsidR="00172742" w:rsidRPr="003147D5" w:rsidRDefault="00172742">
      <w:pPr>
        <w:rPr>
          <w:b/>
          <w:sz w:val="21"/>
          <w:szCs w:val="21"/>
        </w:rPr>
      </w:pPr>
      <w:r w:rsidRPr="003147D5">
        <w:rPr>
          <w:sz w:val="21"/>
          <w:szCs w:val="21"/>
        </w:rPr>
        <w:t xml:space="preserve">No, town-identified </w:t>
      </w:r>
      <w:r w:rsidR="0067622C" w:rsidRPr="003147D5">
        <w:rPr>
          <w:sz w:val="21"/>
          <w:szCs w:val="21"/>
        </w:rPr>
        <w:t>p</w:t>
      </w:r>
      <w:r w:rsidRPr="003147D5">
        <w:rPr>
          <w:sz w:val="21"/>
          <w:szCs w:val="21"/>
        </w:rPr>
        <w:t xml:space="preserve">referred </w:t>
      </w:r>
      <w:r w:rsidR="0067622C" w:rsidRPr="003147D5">
        <w:rPr>
          <w:sz w:val="21"/>
          <w:szCs w:val="21"/>
        </w:rPr>
        <w:t>s</w:t>
      </w:r>
      <w:r w:rsidRPr="003147D5">
        <w:rPr>
          <w:sz w:val="21"/>
          <w:szCs w:val="21"/>
        </w:rPr>
        <w:t xml:space="preserve">ites can be designated for various types and scales of renewable technologies.  The types of projects allowed should be indicated in the municipal plan.  For example, the plan may stipulate that certain </w:t>
      </w:r>
      <w:r w:rsidR="0067622C" w:rsidRPr="003147D5">
        <w:rPr>
          <w:sz w:val="21"/>
          <w:szCs w:val="21"/>
        </w:rPr>
        <w:t>p</w:t>
      </w:r>
      <w:r w:rsidRPr="003147D5">
        <w:rPr>
          <w:sz w:val="21"/>
          <w:szCs w:val="21"/>
        </w:rPr>
        <w:t xml:space="preserve">referred </w:t>
      </w:r>
      <w:r w:rsidR="0067622C" w:rsidRPr="003147D5">
        <w:rPr>
          <w:sz w:val="21"/>
          <w:szCs w:val="21"/>
        </w:rPr>
        <w:t>s</w:t>
      </w:r>
      <w:r w:rsidRPr="003147D5">
        <w:rPr>
          <w:sz w:val="21"/>
          <w:szCs w:val="21"/>
        </w:rPr>
        <w:t>ites as mapped and/or listed are only appropriate for solar arrays up to 150 kW of capacity</w:t>
      </w:r>
      <w:r w:rsidR="0067622C" w:rsidRPr="003147D5">
        <w:rPr>
          <w:sz w:val="21"/>
          <w:szCs w:val="21"/>
        </w:rPr>
        <w:t>, whereas another type of preferred site is only suitable for residential-scale wind turbines</w:t>
      </w:r>
      <w:r w:rsidRPr="003147D5">
        <w:rPr>
          <w:sz w:val="21"/>
          <w:szCs w:val="21"/>
        </w:rPr>
        <w:t xml:space="preserve">. </w:t>
      </w:r>
      <w:r w:rsidR="00D12008" w:rsidRPr="003147D5">
        <w:rPr>
          <w:sz w:val="21"/>
          <w:szCs w:val="21"/>
        </w:rPr>
        <w:t xml:space="preserve"> P</w:t>
      </w:r>
      <w:r w:rsidRPr="003147D5">
        <w:rPr>
          <w:sz w:val="21"/>
          <w:szCs w:val="21"/>
        </w:rPr>
        <w:t xml:space="preserve">referred </w:t>
      </w:r>
      <w:r w:rsidR="0067622C" w:rsidRPr="003147D5">
        <w:rPr>
          <w:sz w:val="21"/>
          <w:szCs w:val="21"/>
        </w:rPr>
        <w:t>s</w:t>
      </w:r>
      <w:r w:rsidRPr="003147D5">
        <w:rPr>
          <w:sz w:val="21"/>
          <w:szCs w:val="21"/>
        </w:rPr>
        <w:t xml:space="preserve">ites </w:t>
      </w:r>
      <w:r w:rsidR="00D12008" w:rsidRPr="003147D5">
        <w:rPr>
          <w:sz w:val="21"/>
          <w:szCs w:val="21"/>
        </w:rPr>
        <w:t>may include</w:t>
      </w:r>
      <w:r w:rsidRPr="003147D5">
        <w:rPr>
          <w:sz w:val="21"/>
          <w:szCs w:val="21"/>
        </w:rPr>
        <w:t xml:space="preserve"> </w:t>
      </w:r>
      <w:r w:rsidR="0067622C" w:rsidRPr="003147D5">
        <w:rPr>
          <w:sz w:val="21"/>
          <w:szCs w:val="21"/>
        </w:rPr>
        <w:t xml:space="preserve">solar, </w:t>
      </w:r>
      <w:r w:rsidRPr="003147D5">
        <w:rPr>
          <w:sz w:val="21"/>
          <w:szCs w:val="21"/>
        </w:rPr>
        <w:t>wind, biomass, hydro</w:t>
      </w:r>
      <w:r w:rsidR="005122EC" w:rsidRPr="003147D5">
        <w:rPr>
          <w:sz w:val="21"/>
          <w:szCs w:val="21"/>
        </w:rPr>
        <w:t xml:space="preserve">, or </w:t>
      </w:r>
      <w:r w:rsidR="00A95168">
        <w:rPr>
          <w:sz w:val="21"/>
          <w:szCs w:val="21"/>
        </w:rPr>
        <w:t xml:space="preserve">farm- or food-based </w:t>
      </w:r>
      <w:r w:rsidR="005122EC" w:rsidRPr="003147D5">
        <w:rPr>
          <w:sz w:val="21"/>
          <w:szCs w:val="21"/>
        </w:rPr>
        <w:t>methane</w:t>
      </w:r>
      <w:r w:rsidR="0067622C" w:rsidRPr="003147D5">
        <w:rPr>
          <w:sz w:val="21"/>
          <w:szCs w:val="21"/>
        </w:rPr>
        <w:t xml:space="preserve"> facilities. </w:t>
      </w:r>
      <w:r w:rsidRPr="003147D5">
        <w:rPr>
          <w:sz w:val="21"/>
          <w:szCs w:val="21"/>
        </w:rPr>
        <w:t xml:space="preserve"> </w:t>
      </w:r>
    </w:p>
    <w:p w14:paraId="57731B74" w14:textId="6A1C8FBB" w:rsidR="00172742" w:rsidRPr="0067622C" w:rsidRDefault="0067622C" w:rsidP="000B3267">
      <w:pPr>
        <w:spacing w:after="0"/>
        <w:rPr>
          <w:b/>
        </w:rPr>
      </w:pPr>
      <w:r>
        <w:rPr>
          <w:b/>
        </w:rPr>
        <w:t>How does the Preferred Site financial incentive work</w:t>
      </w:r>
      <w:r w:rsidR="000A2895">
        <w:rPr>
          <w:b/>
        </w:rPr>
        <w:t>?</w:t>
      </w:r>
      <w:r>
        <w:rPr>
          <w:b/>
        </w:rPr>
        <w:t xml:space="preserve"> </w:t>
      </w:r>
    </w:p>
    <w:tbl>
      <w:tblPr>
        <w:tblStyle w:val="TableGrid"/>
        <w:tblpPr w:leftFromText="180" w:rightFromText="180" w:vertAnchor="text" w:horzAnchor="margin" w:tblpY="1482"/>
        <w:tblW w:w="0" w:type="auto"/>
        <w:tblLayout w:type="fixed"/>
        <w:tblLook w:val="04A0" w:firstRow="1" w:lastRow="0" w:firstColumn="1" w:lastColumn="0" w:noHBand="0" w:noVBand="1"/>
      </w:tblPr>
      <w:tblGrid>
        <w:gridCol w:w="3235"/>
        <w:gridCol w:w="1463"/>
        <w:gridCol w:w="987"/>
        <w:gridCol w:w="2050"/>
        <w:gridCol w:w="1615"/>
      </w:tblGrid>
      <w:tr w:rsidR="0054436A" w:rsidRPr="00684B74" w14:paraId="7DB37091" w14:textId="77777777" w:rsidTr="00D30B11">
        <w:trPr>
          <w:trHeight w:val="530"/>
        </w:trPr>
        <w:tc>
          <w:tcPr>
            <w:tcW w:w="3235" w:type="dxa"/>
            <w:shd w:val="clear" w:color="auto" w:fill="D9D9D9" w:themeFill="background1" w:themeFillShade="D9"/>
          </w:tcPr>
          <w:p w14:paraId="1596525B" w14:textId="77777777" w:rsidR="0054436A" w:rsidRPr="00684B74" w:rsidRDefault="0054436A" w:rsidP="00D30B11">
            <w:pPr>
              <w:rPr>
                <w:sz w:val="20"/>
                <w:szCs w:val="20"/>
              </w:rPr>
            </w:pPr>
            <w:r w:rsidRPr="00684B74">
              <w:rPr>
                <w:sz w:val="20"/>
                <w:szCs w:val="20"/>
              </w:rPr>
              <w:t>Net-Metered (NM) System</w:t>
            </w:r>
          </w:p>
          <w:p w14:paraId="42E22CAC" w14:textId="489D8AB1" w:rsidR="0054436A" w:rsidRPr="00684B74" w:rsidRDefault="0054436A" w:rsidP="00D30B11">
            <w:pPr>
              <w:rPr>
                <w:sz w:val="20"/>
                <w:szCs w:val="20"/>
              </w:rPr>
            </w:pPr>
            <w:r w:rsidRPr="00684B74">
              <w:rPr>
                <w:sz w:val="20"/>
                <w:szCs w:val="20"/>
              </w:rPr>
              <w:t>(non-hydro)</w:t>
            </w:r>
          </w:p>
        </w:tc>
        <w:tc>
          <w:tcPr>
            <w:tcW w:w="1463" w:type="dxa"/>
            <w:shd w:val="clear" w:color="auto" w:fill="D9D9D9" w:themeFill="background1" w:themeFillShade="D9"/>
          </w:tcPr>
          <w:p w14:paraId="79D8A47D" w14:textId="77777777" w:rsidR="0054436A" w:rsidRPr="00684B74" w:rsidRDefault="0054436A" w:rsidP="00D30B11">
            <w:pPr>
              <w:rPr>
                <w:sz w:val="20"/>
                <w:szCs w:val="20"/>
              </w:rPr>
            </w:pPr>
            <w:r w:rsidRPr="00684B74">
              <w:rPr>
                <w:sz w:val="20"/>
                <w:szCs w:val="20"/>
              </w:rPr>
              <w:t xml:space="preserve">Statewide Average Rate (in </w:t>
            </w:r>
            <w:r w:rsidRPr="00684B74">
              <w:rPr>
                <w:rFonts w:ascii="Arial" w:hAnsi="Arial" w:cs="Arial"/>
                <w:color w:val="222222"/>
                <w:sz w:val="20"/>
                <w:szCs w:val="20"/>
                <w:shd w:val="clear" w:color="auto" w:fill="D9D9D9" w:themeFill="background1" w:themeFillShade="D9"/>
              </w:rPr>
              <w:t>¢ per kWh)</w:t>
            </w:r>
          </w:p>
        </w:tc>
        <w:tc>
          <w:tcPr>
            <w:tcW w:w="987" w:type="dxa"/>
            <w:shd w:val="clear" w:color="auto" w:fill="D9D9D9" w:themeFill="background1" w:themeFillShade="D9"/>
          </w:tcPr>
          <w:p w14:paraId="072B3FBB" w14:textId="0F521E59" w:rsidR="0054436A" w:rsidRPr="00684B74" w:rsidRDefault="0054436A" w:rsidP="00D30B11">
            <w:pPr>
              <w:rPr>
                <w:sz w:val="20"/>
                <w:szCs w:val="20"/>
              </w:rPr>
            </w:pPr>
            <w:r w:rsidRPr="00684B74">
              <w:rPr>
                <w:sz w:val="20"/>
                <w:szCs w:val="20"/>
              </w:rPr>
              <w:t>Siting Adjustor</w:t>
            </w:r>
          </w:p>
        </w:tc>
        <w:tc>
          <w:tcPr>
            <w:tcW w:w="2050" w:type="dxa"/>
            <w:shd w:val="clear" w:color="auto" w:fill="D9D9D9" w:themeFill="background1" w:themeFillShade="D9"/>
          </w:tcPr>
          <w:p w14:paraId="2138A734" w14:textId="77777777" w:rsidR="0054436A" w:rsidRPr="00684B74" w:rsidRDefault="0054436A" w:rsidP="00D30B11">
            <w:pPr>
              <w:rPr>
                <w:sz w:val="20"/>
                <w:szCs w:val="20"/>
              </w:rPr>
            </w:pPr>
            <w:r w:rsidRPr="00684B74">
              <w:rPr>
                <w:sz w:val="20"/>
                <w:szCs w:val="20"/>
              </w:rPr>
              <w:t>REC Adjustor (if customer transfers REC to utility)</w:t>
            </w:r>
          </w:p>
        </w:tc>
        <w:tc>
          <w:tcPr>
            <w:tcW w:w="1615" w:type="dxa"/>
            <w:shd w:val="clear" w:color="auto" w:fill="D9D9D9" w:themeFill="background1" w:themeFillShade="D9"/>
          </w:tcPr>
          <w:p w14:paraId="15732732" w14:textId="77777777" w:rsidR="0054436A" w:rsidRPr="00684B74" w:rsidRDefault="0054436A" w:rsidP="00D30B11">
            <w:pPr>
              <w:rPr>
                <w:sz w:val="20"/>
                <w:szCs w:val="20"/>
              </w:rPr>
            </w:pPr>
            <w:r w:rsidRPr="00684B74">
              <w:rPr>
                <w:sz w:val="20"/>
                <w:szCs w:val="20"/>
              </w:rPr>
              <w:t xml:space="preserve">Final Rate with Adjustors (in </w:t>
            </w:r>
            <w:r w:rsidRPr="00684B74">
              <w:rPr>
                <w:rFonts w:ascii="Arial" w:hAnsi="Arial" w:cs="Arial"/>
                <w:color w:val="222222"/>
                <w:sz w:val="20"/>
                <w:szCs w:val="20"/>
                <w:shd w:val="clear" w:color="auto" w:fill="D9D9D9" w:themeFill="background1" w:themeFillShade="D9"/>
              </w:rPr>
              <w:t>¢ per kWh)</w:t>
            </w:r>
          </w:p>
        </w:tc>
      </w:tr>
      <w:tr w:rsidR="0054436A" w:rsidRPr="00684B74" w14:paraId="625FFD58" w14:textId="77777777" w:rsidTr="00D30B11">
        <w:tc>
          <w:tcPr>
            <w:tcW w:w="3235" w:type="dxa"/>
          </w:tcPr>
          <w:p w14:paraId="67F26ED9" w14:textId="77777777" w:rsidR="0054436A" w:rsidRPr="00684B74" w:rsidRDefault="0054436A" w:rsidP="00D30B11">
            <w:pPr>
              <w:rPr>
                <w:sz w:val="20"/>
                <w:szCs w:val="20"/>
              </w:rPr>
            </w:pPr>
            <w:r w:rsidRPr="00684B74">
              <w:rPr>
                <w:sz w:val="20"/>
                <w:szCs w:val="20"/>
              </w:rPr>
              <w:t>&lt; 15 kW, anywhere</w:t>
            </w:r>
          </w:p>
        </w:tc>
        <w:tc>
          <w:tcPr>
            <w:tcW w:w="1463" w:type="dxa"/>
          </w:tcPr>
          <w:p w14:paraId="5A93648E" w14:textId="77777777" w:rsidR="0054436A" w:rsidRPr="00834C7F" w:rsidRDefault="0054436A" w:rsidP="00D30B11">
            <w:pPr>
              <w:jc w:val="center"/>
              <w:rPr>
                <w:sz w:val="20"/>
                <w:szCs w:val="20"/>
              </w:rPr>
            </w:pPr>
            <w:r w:rsidRPr="00834C7F">
              <w:rPr>
                <w:sz w:val="20"/>
                <w:szCs w:val="20"/>
              </w:rPr>
              <w:t>14.9</w:t>
            </w:r>
          </w:p>
        </w:tc>
        <w:tc>
          <w:tcPr>
            <w:tcW w:w="987" w:type="dxa"/>
          </w:tcPr>
          <w:p w14:paraId="638580BD" w14:textId="77777777" w:rsidR="0054436A" w:rsidRPr="00834C7F" w:rsidRDefault="0054436A" w:rsidP="00D30B11">
            <w:pPr>
              <w:jc w:val="center"/>
              <w:rPr>
                <w:sz w:val="20"/>
                <w:szCs w:val="20"/>
              </w:rPr>
            </w:pPr>
            <w:r w:rsidRPr="00834C7F">
              <w:rPr>
                <w:sz w:val="20"/>
                <w:szCs w:val="20"/>
              </w:rPr>
              <w:t>+ 1</w:t>
            </w:r>
          </w:p>
        </w:tc>
        <w:tc>
          <w:tcPr>
            <w:tcW w:w="2050" w:type="dxa"/>
          </w:tcPr>
          <w:p w14:paraId="13A8B4BF" w14:textId="77777777" w:rsidR="0054436A" w:rsidRPr="00834C7F" w:rsidRDefault="0054436A" w:rsidP="00D30B11">
            <w:pPr>
              <w:jc w:val="center"/>
              <w:rPr>
                <w:sz w:val="20"/>
                <w:szCs w:val="20"/>
              </w:rPr>
            </w:pPr>
            <w:r w:rsidRPr="00834C7F">
              <w:rPr>
                <w:sz w:val="20"/>
                <w:szCs w:val="20"/>
              </w:rPr>
              <w:t>+ 3</w:t>
            </w:r>
          </w:p>
        </w:tc>
        <w:tc>
          <w:tcPr>
            <w:tcW w:w="1615" w:type="dxa"/>
          </w:tcPr>
          <w:p w14:paraId="4A2AADF2" w14:textId="77777777" w:rsidR="0054436A" w:rsidRPr="00834C7F" w:rsidRDefault="0054436A" w:rsidP="00D30B11">
            <w:pPr>
              <w:jc w:val="center"/>
              <w:rPr>
                <w:sz w:val="20"/>
                <w:szCs w:val="20"/>
              </w:rPr>
            </w:pPr>
            <w:r w:rsidRPr="00834C7F">
              <w:rPr>
                <w:sz w:val="20"/>
                <w:szCs w:val="20"/>
              </w:rPr>
              <w:t>18.9</w:t>
            </w:r>
          </w:p>
        </w:tc>
      </w:tr>
      <w:tr w:rsidR="0054436A" w:rsidRPr="00684B74" w14:paraId="0D15FEB0" w14:textId="77777777" w:rsidTr="00D30B11">
        <w:tc>
          <w:tcPr>
            <w:tcW w:w="3235" w:type="dxa"/>
          </w:tcPr>
          <w:p w14:paraId="17871068" w14:textId="77777777" w:rsidR="0054436A" w:rsidRPr="00684B74" w:rsidRDefault="0054436A" w:rsidP="00D30B11">
            <w:pPr>
              <w:rPr>
                <w:sz w:val="20"/>
                <w:szCs w:val="20"/>
              </w:rPr>
            </w:pPr>
            <w:r w:rsidRPr="00684B74">
              <w:rPr>
                <w:sz w:val="20"/>
                <w:szCs w:val="20"/>
              </w:rPr>
              <w:t>15 – 150 kW, preferred site</w:t>
            </w:r>
          </w:p>
        </w:tc>
        <w:tc>
          <w:tcPr>
            <w:tcW w:w="1463" w:type="dxa"/>
          </w:tcPr>
          <w:p w14:paraId="338D2DCA" w14:textId="3A7495B7" w:rsidR="0054436A" w:rsidRPr="00834C7F" w:rsidRDefault="0054436A" w:rsidP="00D30B11">
            <w:pPr>
              <w:jc w:val="center"/>
              <w:rPr>
                <w:sz w:val="20"/>
                <w:szCs w:val="20"/>
              </w:rPr>
            </w:pPr>
            <w:r w:rsidRPr="00834C7F">
              <w:rPr>
                <w:sz w:val="20"/>
                <w:szCs w:val="20"/>
              </w:rPr>
              <w:t>14.9</w:t>
            </w:r>
          </w:p>
        </w:tc>
        <w:tc>
          <w:tcPr>
            <w:tcW w:w="987" w:type="dxa"/>
          </w:tcPr>
          <w:p w14:paraId="4A226736" w14:textId="77777777" w:rsidR="0054436A" w:rsidRPr="00834C7F" w:rsidRDefault="0054436A" w:rsidP="00D30B11">
            <w:pPr>
              <w:jc w:val="center"/>
              <w:rPr>
                <w:sz w:val="20"/>
                <w:szCs w:val="20"/>
              </w:rPr>
            </w:pPr>
            <w:r w:rsidRPr="00834C7F">
              <w:rPr>
                <w:sz w:val="20"/>
                <w:szCs w:val="20"/>
              </w:rPr>
              <w:t>+1</w:t>
            </w:r>
          </w:p>
        </w:tc>
        <w:tc>
          <w:tcPr>
            <w:tcW w:w="2050" w:type="dxa"/>
          </w:tcPr>
          <w:p w14:paraId="24DE71BD" w14:textId="77777777" w:rsidR="0054436A" w:rsidRPr="00834C7F" w:rsidRDefault="0054436A" w:rsidP="00D30B11">
            <w:pPr>
              <w:jc w:val="center"/>
              <w:rPr>
                <w:sz w:val="20"/>
                <w:szCs w:val="20"/>
              </w:rPr>
            </w:pPr>
            <w:r w:rsidRPr="00834C7F">
              <w:rPr>
                <w:sz w:val="20"/>
                <w:szCs w:val="20"/>
              </w:rPr>
              <w:t>+3</w:t>
            </w:r>
          </w:p>
        </w:tc>
        <w:tc>
          <w:tcPr>
            <w:tcW w:w="1615" w:type="dxa"/>
          </w:tcPr>
          <w:p w14:paraId="04BE2173" w14:textId="77777777" w:rsidR="0054436A" w:rsidRPr="00834C7F" w:rsidRDefault="0054436A" w:rsidP="00D30B11">
            <w:pPr>
              <w:jc w:val="center"/>
              <w:rPr>
                <w:sz w:val="20"/>
                <w:szCs w:val="20"/>
              </w:rPr>
            </w:pPr>
            <w:r w:rsidRPr="00834C7F">
              <w:rPr>
                <w:sz w:val="20"/>
                <w:szCs w:val="20"/>
              </w:rPr>
              <w:t>18.9</w:t>
            </w:r>
          </w:p>
        </w:tc>
      </w:tr>
      <w:tr w:rsidR="0054436A" w:rsidRPr="00684B74" w14:paraId="12A19098" w14:textId="77777777" w:rsidTr="00D30B11">
        <w:tc>
          <w:tcPr>
            <w:tcW w:w="3235" w:type="dxa"/>
          </w:tcPr>
          <w:p w14:paraId="1FD86B79" w14:textId="29AA9009" w:rsidR="0054436A" w:rsidRPr="00684B74" w:rsidRDefault="0054436A" w:rsidP="00D30B11">
            <w:pPr>
              <w:rPr>
                <w:sz w:val="20"/>
                <w:szCs w:val="20"/>
              </w:rPr>
            </w:pPr>
            <w:r w:rsidRPr="00684B74">
              <w:rPr>
                <w:sz w:val="20"/>
                <w:szCs w:val="20"/>
              </w:rPr>
              <w:t>150 – 500 kW, preferred site</w:t>
            </w:r>
          </w:p>
        </w:tc>
        <w:tc>
          <w:tcPr>
            <w:tcW w:w="1463" w:type="dxa"/>
          </w:tcPr>
          <w:p w14:paraId="4C9FCA03" w14:textId="6DD6FEA3" w:rsidR="0054436A" w:rsidRPr="00834C7F" w:rsidRDefault="0054436A" w:rsidP="00D30B11">
            <w:pPr>
              <w:jc w:val="center"/>
              <w:rPr>
                <w:sz w:val="20"/>
                <w:szCs w:val="20"/>
              </w:rPr>
            </w:pPr>
            <w:r w:rsidRPr="00834C7F">
              <w:rPr>
                <w:sz w:val="20"/>
                <w:szCs w:val="20"/>
              </w:rPr>
              <w:t>14.9</w:t>
            </w:r>
          </w:p>
        </w:tc>
        <w:tc>
          <w:tcPr>
            <w:tcW w:w="987" w:type="dxa"/>
          </w:tcPr>
          <w:p w14:paraId="2915B2C0" w14:textId="77777777" w:rsidR="0054436A" w:rsidRPr="00834C7F" w:rsidRDefault="0054436A" w:rsidP="00D30B11">
            <w:pPr>
              <w:jc w:val="center"/>
              <w:rPr>
                <w:sz w:val="20"/>
                <w:szCs w:val="20"/>
              </w:rPr>
            </w:pPr>
            <w:r w:rsidRPr="00834C7F">
              <w:rPr>
                <w:sz w:val="20"/>
                <w:szCs w:val="20"/>
              </w:rPr>
              <w:t>- 1</w:t>
            </w:r>
          </w:p>
        </w:tc>
        <w:tc>
          <w:tcPr>
            <w:tcW w:w="2050" w:type="dxa"/>
          </w:tcPr>
          <w:p w14:paraId="40774B8A" w14:textId="77777777" w:rsidR="0054436A" w:rsidRPr="00834C7F" w:rsidRDefault="0054436A" w:rsidP="00D30B11">
            <w:pPr>
              <w:jc w:val="center"/>
              <w:rPr>
                <w:sz w:val="20"/>
                <w:szCs w:val="20"/>
              </w:rPr>
            </w:pPr>
            <w:r w:rsidRPr="00834C7F">
              <w:rPr>
                <w:sz w:val="20"/>
                <w:szCs w:val="20"/>
              </w:rPr>
              <w:t>+3</w:t>
            </w:r>
          </w:p>
        </w:tc>
        <w:tc>
          <w:tcPr>
            <w:tcW w:w="1615" w:type="dxa"/>
          </w:tcPr>
          <w:p w14:paraId="3B99B42A" w14:textId="77777777" w:rsidR="0054436A" w:rsidRPr="00834C7F" w:rsidRDefault="0054436A" w:rsidP="00D30B11">
            <w:pPr>
              <w:jc w:val="center"/>
              <w:rPr>
                <w:sz w:val="20"/>
                <w:szCs w:val="20"/>
              </w:rPr>
            </w:pPr>
            <w:r w:rsidRPr="00834C7F">
              <w:rPr>
                <w:sz w:val="20"/>
                <w:szCs w:val="20"/>
              </w:rPr>
              <w:t>16.9</w:t>
            </w:r>
          </w:p>
        </w:tc>
      </w:tr>
      <w:tr w:rsidR="0054436A" w:rsidRPr="00684B74" w14:paraId="7715CB48" w14:textId="77777777" w:rsidTr="00D30B11">
        <w:tc>
          <w:tcPr>
            <w:tcW w:w="3235" w:type="dxa"/>
          </w:tcPr>
          <w:p w14:paraId="5B34C8D2" w14:textId="77777777" w:rsidR="0054436A" w:rsidRPr="00684B74" w:rsidRDefault="0054436A" w:rsidP="00D30B11">
            <w:pPr>
              <w:rPr>
                <w:sz w:val="20"/>
                <w:szCs w:val="20"/>
              </w:rPr>
            </w:pPr>
            <w:r w:rsidRPr="00684B74">
              <w:rPr>
                <w:sz w:val="20"/>
                <w:szCs w:val="20"/>
              </w:rPr>
              <w:t>15 – 150 kW, not on a preferred site</w:t>
            </w:r>
          </w:p>
        </w:tc>
        <w:tc>
          <w:tcPr>
            <w:tcW w:w="1463" w:type="dxa"/>
          </w:tcPr>
          <w:p w14:paraId="13090392" w14:textId="6E7F7860" w:rsidR="0054436A" w:rsidRPr="00834C7F" w:rsidRDefault="0054436A" w:rsidP="00D30B11">
            <w:pPr>
              <w:jc w:val="center"/>
              <w:rPr>
                <w:sz w:val="20"/>
                <w:szCs w:val="20"/>
              </w:rPr>
            </w:pPr>
            <w:r w:rsidRPr="00834C7F">
              <w:rPr>
                <w:sz w:val="20"/>
                <w:szCs w:val="20"/>
              </w:rPr>
              <w:t>14.9</w:t>
            </w:r>
          </w:p>
        </w:tc>
        <w:tc>
          <w:tcPr>
            <w:tcW w:w="987" w:type="dxa"/>
          </w:tcPr>
          <w:p w14:paraId="5BDAC55D" w14:textId="77777777" w:rsidR="0054436A" w:rsidRPr="00834C7F" w:rsidRDefault="0054436A" w:rsidP="00D30B11">
            <w:pPr>
              <w:jc w:val="center"/>
              <w:rPr>
                <w:sz w:val="20"/>
                <w:szCs w:val="20"/>
              </w:rPr>
            </w:pPr>
            <w:r w:rsidRPr="00834C7F">
              <w:rPr>
                <w:sz w:val="20"/>
                <w:szCs w:val="20"/>
              </w:rPr>
              <w:t>- 3</w:t>
            </w:r>
          </w:p>
        </w:tc>
        <w:tc>
          <w:tcPr>
            <w:tcW w:w="2050" w:type="dxa"/>
          </w:tcPr>
          <w:p w14:paraId="72D26C01" w14:textId="77777777" w:rsidR="0054436A" w:rsidRPr="00834C7F" w:rsidRDefault="0054436A" w:rsidP="00D30B11">
            <w:pPr>
              <w:jc w:val="center"/>
              <w:rPr>
                <w:sz w:val="20"/>
                <w:szCs w:val="20"/>
              </w:rPr>
            </w:pPr>
            <w:r w:rsidRPr="00834C7F">
              <w:rPr>
                <w:sz w:val="20"/>
                <w:szCs w:val="20"/>
              </w:rPr>
              <w:t>+3</w:t>
            </w:r>
          </w:p>
        </w:tc>
        <w:tc>
          <w:tcPr>
            <w:tcW w:w="1615" w:type="dxa"/>
          </w:tcPr>
          <w:p w14:paraId="0D865FCC" w14:textId="77777777" w:rsidR="0054436A" w:rsidRPr="00834C7F" w:rsidRDefault="0054436A" w:rsidP="00D30B11">
            <w:pPr>
              <w:jc w:val="center"/>
              <w:rPr>
                <w:sz w:val="20"/>
                <w:szCs w:val="20"/>
              </w:rPr>
            </w:pPr>
            <w:r w:rsidRPr="00834C7F">
              <w:rPr>
                <w:sz w:val="20"/>
                <w:szCs w:val="20"/>
              </w:rPr>
              <w:t>14.9</w:t>
            </w:r>
          </w:p>
        </w:tc>
      </w:tr>
    </w:tbl>
    <w:p w14:paraId="710FFD9F" w14:textId="0D24B46D" w:rsidR="00C6001D" w:rsidRPr="0054436A" w:rsidRDefault="00D30B11" w:rsidP="00734030">
      <w:pPr>
        <w:rPr>
          <w:sz w:val="21"/>
          <w:szCs w:val="21"/>
        </w:rPr>
      </w:pPr>
      <w:r w:rsidRPr="00D30B11">
        <w:rPr>
          <w:noProof/>
          <w:sz w:val="21"/>
          <w:szCs w:val="21"/>
        </w:rPr>
        <mc:AlternateContent>
          <mc:Choice Requires="wps">
            <w:drawing>
              <wp:anchor distT="45720" distB="45720" distL="114300" distR="114300" simplePos="0" relativeHeight="251669504" behindDoc="0" locked="0" layoutInCell="1" allowOverlap="1" wp14:anchorId="6E557ADE" wp14:editId="6FB66BC7">
                <wp:simplePos x="0" y="0"/>
                <wp:positionH relativeFrom="margin">
                  <wp:posOffset>-85725</wp:posOffset>
                </wp:positionH>
                <wp:positionV relativeFrom="paragraph">
                  <wp:posOffset>2063750</wp:posOffset>
                </wp:positionV>
                <wp:extent cx="4600575" cy="2381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38125"/>
                        </a:xfrm>
                        <a:prstGeom prst="rect">
                          <a:avLst/>
                        </a:prstGeom>
                        <a:noFill/>
                        <a:ln w="9525">
                          <a:noFill/>
                          <a:miter lim="800000"/>
                          <a:headEnd/>
                          <a:tailEnd/>
                        </a:ln>
                      </wps:spPr>
                      <wps:txbx>
                        <w:txbxContent>
                          <w:p w14:paraId="4F59EF89" w14:textId="0BDD8CDD" w:rsidR="00D30B11" w:rsidRPr="00D30B11" w:rsidRDefault="00D30B11">
                            <w:pPr>
                              <w:rPr>
                                <w:color w:val="595959" w:themeColor="text1" w:themeTint="A6"/>
                                <w:sz w:val="16"/>
                                <w:szCs w:val="16"/>
                              </w:rPr>
                            </w:pPr>
                            <w:r w:rsidRPr="00D30B11">
                              <w:rPr>
                                <w:color w:val="595959" w:themeColor="text1" w:themeTint="A6"/>
                                <w:sz w:val="16"/>
                                <w:szCs w:val="16"/>
                              </w:rPr>
                              <w:t>*Rates and adjustors are scheduled for review and revision mid-2018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57ADE" id="_x0000_s1031" type="#_x0000_t202" style="position:absolute;margin-left:-6.75pt;margin-top:162.5pt;width:362.25pt;height:18.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" filled="f" stroked="f">
                <v:textbox>
                  <w:txbxContent>
                    <w:p w14:paraId="4F59EF89" w14:textId="0BDD8CDD" w:rsidR="00D30B11" w:rsidRPr="00D30B11" w:rsidRDefault="00D30B11">
                      <w:pPr>
                        <w:rPr>
                          <w:color w:val="595959" w:themeColor="text1" w:themeTint="A6"/>
                          <w:sz w:val="16"/>
                          <w:szCs w:val="16"/>
                        </w:rPr>
                      </w:pPr>
                      <w:r w:rsidRPr="00D30B11">
                        <w:rPr>
                          <w:color w:val="595959" w:themeColor="text1" w:themeTint="A6"/>
                          <w:sz w:val="16"/>
                          <w:szCs w:val="16"/>
                        </w:rPr>
                        <w:t>*Rates and adjustors are scheduled for review and revision mid-2018</w:t>
                      </w:r>
                    </w:p>
                  </w:txbxContent>
                </v:textbox>
                <w10:wrap anchorx="margin"/>
              </v:shape>
            </w:pict>
          </mc:Fallback>
        </mc:AlternateContent>
      </w:r>
      <w:r w:rsidR="000B3267" w:rsidRPr="003147D5">
        <w:rPr>
          <w:sz w:val="21"/>
          <w:szCs w:val="21"/>
        </w:rPr>
        <w:t>I</w:t>
      </w:r>
      <w:r w:rsidR="0067622C" w:rsidRPr="003147D5">
        <w:rPr>
          <w:sz w:val="21"/>
          <w:szCs w:val="21"/>
        </w:rPr>
        <w:t>ncentive</w:t>
      </w:r>
      <w:r w:rsidR="000B3267" w:rsidRPr="003147D5">
        <w:rPr>
          <w:sz w:val="21"/>
          <w:szCs w:val="21"/>
        </w:rPr>
        <w:t>s for the development of renewable energy facilities</w:t>
      </w:r>
      <w:r w:rsidR="00304E6A" w:rsidRPr="003147D5">
        <w:rPr>
          <w:sz w:val="21"/>
          <w:szCs w:val="21"/>
        </w:rPr>
        <w:t xml:space="preserve"> take the form of </w:t>
      </w:r>
      <w:r w:rsidR="00304E6A" w:rsidRPr="003147D5">
        <w:rPr>
          <w:i/>
          <w:sz w:val="21"/>
          <w:szCs w:val="21"/>
        </w:rPr>
        <w:t>siting adjustor</w:t>
      </w:r>
      <w:r w:rsidR="000B3267" w:rsidRPr="003147D5">
        <w:rPr>
          <w:i/>
          <w:sz w:val="21"/>
          <w:szCs w:val="21"/>
        </w:rPr>
        <w:t>s and REC adjustors</w:t>
      </w:r>
      <w:r w:rsidR="00304E6A" w:rsidRPr="003147D5">
        <w:rPr>
          <w:sz w:val="21"/>
          <w:szCs w:val="21"/>
        </w:rPr>
        <w:t xml:space="preserve">, which </w:t>
      </w:r>
      <w:r w:rsidR="000B3267" w:rsidRPr="003147D5">
        <w:rPr>
          <w:sz w:val="21"/>
          <w:szCs w:val="21"/>
        </w:rPr>
        <w:t>are</w:t>
      </w:r>
      <w:r w:rsidR="00304E6A" w:rsidRPr="003147D5">
        <w:rPr>
          <w:sz w:val="21"/>
          <w:szCs w:val="21"/>
        </w:rPr>
        <w:t xml:space="preserve"> financial adjustment</w:t>
      </w:r>
      <w:r w:rsidR="000B3267" w:rsidRPr="003147D5">
        <w:rPr>
          <w:sz w:val="21"/>
          <w:szCs w:val="21"/>
        </w:rPr>
        <w:t>s</w:t>
      </w:r>
      <w:r w:rsidR="00304E6A" w:rsidRPr="003147D5">
        <w:rPr>
          <w:sz w:val="21"/>
          <w:szCs w:val="21"/>
        </w:rPr>
        <w:t xml:space="preserve"> to the rate at which a utility purchases each kWh of electricity</w:t>
      </w:r>
      <w:r w:rsidR="0067622C" w:rsidRPr="003147D5">
        <w:rPr>
          <w:sz w:val="21"/>
          <w:szCs w:val="21"/>
        </w:rPr>
        <w:t xml:space="preserve"> from a site</w:t>
      </w:r>
      <w:r w:rsidR="00304E6A" w:rsidRPr="003147D5">
        <w:rPr>
          <w:sz w:val="21"/>
          <w:szCs w:val="21"/>
        </w:rPr>
        <w:t xml:space="preserve"> for </w:t>
      </w:r>
      <w:r w:rsidR="0067622C" w:rsidRPr="003147D5">
        <w:rPr>
          <w:sz w:val="21"/>
          <w:szCs w:val="21"/>
        </w:rPr>
        <w:t xml:space="preserve">distribution through </w:t>
      </w:r>
      <w:r w:rsidR="00304E6A" w:rsidRPr="003147D5">
        <w:rPr>
          <w:sz w:val="21"/>
          <w:szCs w:val="21"/>
        </w:rPr>
        <w:t xml:space="preserve">the electric grid.  </w:t>
      </w:r>
      <w:r w:rsidR="005F1258" w:rsidRPr="003147D5">
        <w:rPr>
          <w:sz w:val="21"/>
          <w:szCs w:val="21"/>
        </w:rPr>
        <w:t>NM</w:t>
      </w:r>
      <w:r w:rsidR="0070379B" w:rsidRPr="003147D5">
        <w:rPr>
          <w:sz w:val="21"/>
          <w:szCs w:val="21"/>
        </w:rPr>
        <w:t xml:space="preserve"> rules grant siting adjustors according to type and scale of facility</w:t>
      </w:r>
      <w:r w:rsidR="000B3267" w:rsidRPr="003147D5">
        <w:rPr>
          <w:sz w:val="21"/>
          <w:szCs w:val="21"/>
        </w:rPr>
        <w:t xml:space="preserve">.  For example, the owner of the following </w:t>
      </w:r>
      <w:r w:rsidR="00DD0BD5" w:rsidRPr="003147D5">
        <w:rPr>
          <w:sz w:val="21"/>
          <w:szCs w:val="21"/>
        </w:rPr>
        <w:t>NM</w:t>
      </w:r>
      <w:r w:rsidR="000B3267" w:rsidRPr="003147D5">
        <w:rPr>
          <w:sz w:val="21"/>
          <w:szCs w:val="21"/>
        </w:rPr>
        <w:t xml:space="preserve"> facilities who transfers the</w:t>
      </w:r>
      <w:r w:rsidR="007378D1" w:rsidRPr="003147D5">
        <w:rPr>
          <w:sz w:val="21"/>
          <w:szCs w:val="21"/>
        </w:rPr>
        <w:t>ir</w:t>
      </w:r>
      <w:r w:rsidR="000B3267" w:rsidRPr="003147D5">
        <w:rPr>
          <w:sz w:val="21"/>
          <w:szCs w:val="21"/>
        </w:rPr>
        <w:t xml:space="preserve"> RECs </w:t>
      </w:r>
      <w:r w:rsidR="00947EE3" w:rsidRPr="003147D5">
        <w:rPr>
          <w:sz w:val="21"/>
          <w:szCs w:val="21"/>
        </w:rPr>
        <w:t xml:space="preserve">(Renewable Energy Credits) </w:t>
      </w:r>
      <w:r w:rsidR="000B3267" w:rsidRPr="003147D5">
        <w:rPr>
          <w:sz w:val="21"/>
          <w:szCs w:val="21"/>
        </w:rPr>
        <w:t xml:space="preserve">to </w:t>
      </w:r>
      <w:r w:rsidR="007378D1" w:rsidRPr="003147D5">
        <w:rPr>
          <w:sz w:val="21"/>
          <w:szCs w:val="21"/>
        </w:rPr>
        <w:t>a</w:t>
      </w:r>
      <w:r w:rsidR="000B3267" w:rsidRPr="003147D5">
        <w:rPr>
          <w:sz w:val="21"/>
          <w:szCs w:val="21"/>
        </w:rPr>
        <w:t xml:space="preserve"> utility would receive these adjustors and final purchase rate</w:t>
      </w:r>
      <w:r w:rsidR="00A95168">
        <w:rPr>
          <w:sz w:val="21"/>
          <w:szCs w:val="21"/>
        </w:rPr>
        <w:t>s</w:t>
      </w:r>
      <w:r w:rsidR="006E1B79">
        <w:rPr>
          <w:sz w:val="21"/>
          <w:szCs w:val="21"/>
        </w:rPr>
        <w:t>*</w:t>
      </w:r>
      <w:r w:rsidR="0070379B" w:rsidRPr="003147D5">
        <w:rPr>
          <w:sz w:val="21"/>
          <w:szCs w:val="21"/>
        </w:rPr>
        <w:t>:</w:t>
      </w:r>
    </w:p>
    <w:sectPr w:rsidR="00C6001D" w:rsidRPr="0054436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8165B" w14:textId="77777777" w:rsidR="001A3478" w:rsidRDefault="001A3478" w:rsidP="00FA1E06">
      <w:pPr>
        <w:spacing w:after="0" w:line="240" w:lineRule="auto"/>
      </w:pPr>
      <w:r>
        <w:separator/>
      </w:r>
    </w:p>
  </w:endnote>
  <w:endnote w:type="continuationSeparator" w:id="0">
    <w:p w14:paraId="384F8697" w14:textId="77777777" w:rsidR="001A3478" w:rsidRDefault="001A3478" w:rsidP="00FA1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009718"/>
      <w:docPartObj>
        <w:docPartGallery w:val="Page Numbers (Bottom of Page)"/>
        <w:docPartUnique/>
      </w:docPartObj>
    </w:sdtPr>
    <w:sdtEndPr>
      <w:rPr>
        <w:noProof/>
      </w:rPr>
    </w:sdtEndPr>
    <w:sdtContent>
      <w:p w14:paraId="0089ECFA" w14:textId="0F166B77" w:rsidR="00B62621" w:rsidRDefault="00B62621">
        <w:pPr>
          <w:pStyle w:val="Footer"/>
          <w:jc w:val="center"/>
        </w:pPr>
        <w:r>
          <w:fldChar w:fldCharType="begin"/>
        </w:r>
        <w:r>
          <w:instrText xml:space="preserve"> PAGE   \* MERGEFORMAT </w:instrText>
        </w:r>
        <w:r>
          <w:fldChar w:fldCharType="separate"/>
        </w:r>
        <w:r w:rsidR="00004CC1">
          <w:rPr>
            <w:noProof/>
          </w:rPr>
          <w:t>2</w:t>
        </w:r>
        <w:r>
          <w:rPr>
            <w:noProof/>
          </w:rPr>
          <w:fldChar w:fldCharType="end"/>
        </w:r>
      </w:p>
    </w:sdtContent>
  </w:sdt>
  <w:p w14:paraId="1070F2CE" w14:textId="459F04DA" w:rsidR="00B62621" w:rsidRDefault="00B62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B1426" w14:textId="77777777" w:rsidR="001A3478" w:rsidRDefault="001A3478" w:rsidP="00FA1E06">
      <w:pPr>
        <w:spacing w:after="0" w:line="240" w:lineRule="auto"/>
      </w:pPr>
      <w:r>
        <w:separator/>
      </w:r>
    </w:p>
  </w:footnote>
  <w:footnote w:type="continuationSeparator" w:id="0">
    <w:p w14:paraId="75E9FBC4" w14:textId="77777777" w:rsidR="001A3478" w:rsidRDefault="001A3478" w:rsidP="00FA1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31F92" w14:textId="688F83EE" w:rsidR="00B62621" w:rsidRDefault="00B62621">
    <w:pPr>
      <w:pStyle w:val="Header"/>
    </w:pPr>
    <w:r w:rsidRPr="00C6001D">
      <w:rPr>
        <w:b/>
      </w:rPr>
      <w:t xml:space="preserve">Guidance on Act </w:t>
    </w:r>
    <w:proofErr w:type="gramStart"/>
    <w:r w:rsidRPr="00C6001D">
      <w:rPr>
        <w:b/>
      </w:rPr>
      <w:t>174</w:t>
    </w:r>
    <w:r w:rsidR="0054436A">
      <w:rPr>
        <w:b/>
      </w:rPr>
      <w:t xml:space="preserve"> </w:t>
    </w:r>
    <w:r w:rsidRPr="00C6001D">
      <w:rPr>
        <w:b/>
      </w:rPr>
      <w:t xml:space="preserve"> </w:t>
    </w:r>
    <w:r w:rsidRPr="0054436A">
      <w:rPr>
        <w:b/>
        <w:i/>
      </w:rPr>
      <w:t>Preferred</w:t>
    </w:r>
    <w:proofErr w:type="gramEnd"/>
    <w:r w:rsidRPr="0054436A">
      <w:rPr>
        <w:b/>
        <w:i/>
      </w:rPr>
      <w:t xml:space="preserve"> Site</w:t>
    </w:r>
    <w:r w:rsidRPr="00C6001D">
      <w:rPr>
        <w:b/>
      </w:rPr>
      <w:t xml:space="preserve"> </w:t>
    </w:r>
    <w:r w:rsidR="0054436A">
      <w:rPr>
        <w:b/>
      </w:rPr>
      <w:t xml:space="preserve"> </w:t>
    </w:r>
    <w:r w:rsidRPr="00C6001D">
      <w:rPr>
        <w:b/>
      </w:rPr>
      <w:t>designation</w:t>
    </w:r>
    <w:r>
      <w:rPr>
        <w:b/>
      </w:rPr>
      <w:t xml:space="preserve"> – Town of </w:t>
    </w:r>
    <w:r w:rsidR="00104AB4">
      <w:rPr>
        <w:b/>
      </w:rPr>
      <w:t>______</w:t>
    </w:r>
    <w:r w:rsidR="00004CC1">
      <w:tab/>
      <w:t>March</w:t>
    </w:r>
    <w: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4736"/>
    <w:multiLevelType w:val="hybridMultilevel"/>
    <w:tmpl w:val="61E63598"/>
    <w:lvl w:ilvl="0" w:tplc="C8445B5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C2793"/>
    <w:multiLevelType w:val="hybridMultilevel"/>
    <w:tmpl w:val="CA827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115A8"/>
    <w:multiLevelType w:val="multilevel"/>
    <w:tmpl w:val="1E0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28741A"/>
    <w:multiLevelType w:val="multilevel"/>
    <w:tmpl w:val="8F20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CF2B01"/>
    <w:multiLevelType w:val="hybridMultilevel"/>
    <w:tmpl w:val="98407CC4"/>
    <w:lvl w:ilvl="0" w:tplc="4D66B85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01D"/>
    <w:rsid w:val="00004CC1"/>
    <w:rsid w:val="000245AC"/>
    <w:rsid w:val="0003365F"/>
    <w:rsid w:val="00051A31"/>
    <w:rsid w:val="00051FD0"/>
    <w:rsid w:val="00067A24"/>
    <w:rsid w:val="00086B21"/>
    <w:rsid w:val="000A0D27"/>
    <w:rsid w:val="000A2895"/>
    <w:rsid w:val="000B3267"/>
    <w:rsid w:val="000B7833"/>
    <w:rsid w:val="000C4AD2"/>
    <w:rsid w:val="00104AB4"/>
    <w:rsid w:val="001443F7"/>
    <w:rsid w:val="00172742"/>
    <w:rsid w:val="00182DFD"/>
    <w:rsid w:val="001A3478"/>
    <w:rsid w:val="001D0C92"/>
    <w:rsid w:val="001D5F6E"/>
    <w:rsid w:val="001F5F1A"/>
    <w:rsid w:val="001F7103"/>
    <w:rsid w:val="002036ED"/>
    <w:rsid w:val="0020652F"/>
    <w:rsid w:val="002B0640"/>
    <w:rsid w:val="002C0A25"/>
    <w:rsid w:val="002D3CEF"/>
    <w:rsid w:val="002F3A27"/>
    <w:rsid w:val="00304E6A"/>
    <w:rsid w:val="003147D5"/>
    <w:rsid w:val="003203D1"/>
    <w:rsid w:val="00322587"/>
    <w:rsid w:val="0034287C"/>
    <w:rsid w:val="0034638B"/>
    <w:rsid w:val="0038350E"/>
    <w:rsid w:val="0039376E"/>
    <w:rsid w:val="003B2E12"/>
    <w:rsid w:val="003B3E91"/>
    <w:rsid w:val="003E00CE"/>
    <w:rsid w:val="003F2988"/>
    <w:rsid w:val="00410869"/>
    <w:rsid w:val="0042473E"/>
    <w:rsid w:val="00433B8A"/>
    <w:rsid w:val="00443C9F"/>
    <w:rsid w:val="00490EA7"/>
    <w:rsid w:val="00493221"/>
    <w:rsid w:val="004E1C32"/>
    <w:rsid w:val="004E67F2"/>
    <w:rsid w:val="004F033E"/>
    <w:rsid w:val="005122EC"/>
    <w:rsid w:val="005148AF"/>
    <w:rsid w:val="0054436A"/>
    <w:rsid w:val="00587293"/>
    <w:rsid w:val="005D201B"/>
    <w:rsid w:val="005F1258"/>
    <w:rsid w:val="00611D3A"/>
    <w:rsid w:val="0064301E"/>
    <w:rsid w:val="00645D04"/>
    <w:rsid w:val="0067622C"/>
    <w:rsid w:val="00684B74"/>
    <w:rsid w:val="0069151D"/>
    <w:rsid w:val="006A591C"/>
    <w:rsid w:val="006E1B79"/>
    <w:rsid w:val="006F5C4B"/>
    <w:rsid w:val="0070379B"/>
    <w:rsid w:val="00734030"/>
    <w:rsid w:val="007378D1"/>
    <w:rsid w:val="007A3E8A"/>
    <w:rsid w:val="007B372F"/>
    <w:rsid w:val="007D2640"/>
    <w:rsid w:val="007F15E2"/>
    <w:rsid w:val="008122B7"/>
    <w:rsid w:val="00824191"/>
    <w:rsid w:val="00834C7F"/>
    <w:rsid w:val="00895A7A"/>
    <w:rsid w:val="008B1966"/>
    <w:rsid w:val="008C079C"/>
    <w:rsid w:val="00904F76"/>
    <w:rsid w:val="00911395"/>
    <w:rsid w:val="00947EE3"/>
    <w:rsid w:val="00954331"/>
    <w:rsid w:val="00977ADD"/>
    <w:rsid w:val="00980CDD"/>
    <w:rsid w:val="009857E3"/>
    <w:rsid w:val="009D4613"/>
    <w:rsid w:val="009E12A5"/>
    <w:rsid w:val="009F3881"/>
    <w:rsid w:val="00A114C9"/>
    <w:rsid w:val="00A135F8"/>
    <w:rsid w:val="00A1697A"/>
    <w:rsid w:val="00A2176B"/>
    <w:rsid w:val="00A32957"/>
    <w:rsid w:val="00A53A3F"/>
    <w:rsid w:val="00A704E6"/>
    <w:rsid w:val="00A95168"/>
    <w:rsid w:val="00B0107D"/>
    <w:rsid w:val="00B119D7"/>
    <w:rsid w:val="00B26427"/>
    <w:rsid w:val="00B40B38"/>
    <w:rsid w:val="00B62621"/>
    <w:rsid w:val="00C003D4"/>
    <w:rsid w:val="00C4424E"/>
    <w:rsid w:val="00C6001D"/>
    <w:rsid w:val="00C71884"/>
    <w:rsid w:val="00C74BF7"/>
    <w:rsid w:val="00CC333D"/>
    <w:rsid w:val="00CD3D07"/>
    <w:rsid w:val="00D10E17"/>
    <w:rsid w:val="00D12008"/>
    <w:rsid w:val="00D152F5"/>
    <w:rsid w:val="00D20D93"/>
    <w:rsid w:val="00D30B11"/>
    <w:rsid w:val="00D57367"/>
    <w:rsid w:val="00D774E8"/>
    <w:rsid w:val="00DA3D38"/>
    <w:rsid w:val="00DC2381"/>
    <w:rsid w:val="00DD0BD5"/>
    <w:rsid w:val="00E079A2"/>
    <w:rsid w:val="00E62408"/>
    <w:rsid w:val="00E83B6B"/>
    <w:rsid w:val="00EA2214"/>
    <w:rsid w:val="00ED2C21"/>
    <w:rsid w:val="00EE01AF"/>
    <w:rsid w:val="00F404F4"/>
    <w:rsid w:val="00F94E17"/>
    <w:rsid w:val="00FA1E06"/>
    <w:rsid w:val="00FA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CB18"/>
  <w15:chartTrackingRefBased/>
  <w15:docId w15:val="{71A98183-9A22-4454-903F-D88239EB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A31"/>
    <w:pPr>
      <w:ind w:left="720"/>
      <w:contextualSpacing/>
    </w:pPr>
  </w:style>
  <w:style w:type="paragraph" w:styleId="Header">
    <w:name w:val="header"/>
    <w:basedOn w:val="Normal"/>
    <w:link w:val="HeaderChar"/>
    <w:uiPriority w:val="99"/>
    <w:unhideWhenUsed/>
    <w:rsid w:val="00FA1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E06"/>
  </w:style>
  <w:style w:type="paragraph" w:styleId="Footer">
    <w:name w:val="footer"/>
    <w:basedOn w:val="Normal"/>
    <w:link w:val="FooterChar"/>
    <w:uiPriority w:val="99"/>
    <w:unhideWhenUsed/>
    <w:rsid w:val="00FA1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E06"/>
  </w:style>
  <w:style w:type="table" w:styleId="TableGrid">
    <w:name w:val="Table Grid"/>
    <w:basedOn w:val="TableNormal"/>
    <w:uiPriority w:val="39"/>
    <w:rsid w:val="00D77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2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999211">
      <w:bodyDiv w:val="1"/>
      <w:marLeft w:val="0"/>
      <w:marRight w:val="0"/>
      <w:marTop w:val="0"/>
      <w:marBottom w:val="0"/>
      <w:divBdr>
        <w:top w:val="none" w:sz="0" w:space="0" w:color="auto"/>
        <w:left w:val="none" w:sz="0" w:space="0" w:color="auto"/>
        <w:bottom w:val="none" w:sz="0" w:space="0" w:color="auto"/>
        <w:right w:val="none" w:sz="0" w:space="0" w:color="auto"/>
      </w:divBdr>
    </w:div>
    <w:div w:id="1343434529">
      <w:bodyDiv w:val="1"/>
      <w:marLeft w:val="0"/>
      <w:marRight w:val="0"/>
      <w:marTop w:val="0"/>
      <w:marBottom w:val="0"/>
      <w:divBdr>
        <w:top w:val="none" w:sz="0" w:space="0" w:color="auto"/>
        <w:left w:val="none" w:sz="0" w:space="0" w:color="auto"/>
        <w:bottom w:val="none" w:sz="0" w:space="0" w:color="auto"/>
        <w:right w:val="none" w:sz="0" w:space="0" w:color="auto"/>
      </w:divBdr>
    </w:div>
    <w:div w:id="1699966311">
      <w:bodyDiv w:val="1"/>
      <w:marLeft w:val="0"/>
      <w:marRight w:val="0"/>
      <w:marTop w:val="0"/>
      <w:marBottom w:val="0"/>
      <w:divBdr>
        <w:top w:val="none" w:sz="0" w:space="0" w:color="auto"/>
        <w:left w:val="none" w:sz="0" w:space="0" w:color="auto"/>
        <w:bottom w:val="none" w:sz="0" w:space="0" w:color="auto"/>
        <w:right w:val="none" w:sz="0" w:space="0" w:color="auto"/>
      </w:divBdr>
    </w:div>
    <w:div w:id="181510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3</cp:revision>
  <cp:lastPrinted>2018-02-05T21:03:00Z</cp:lastPrinted>
  <dcterms:created xsi:type="dcterms:W3CDTF">2018-06-11T15:22:00Z</dcterms:created>
  <dcterms:modified xsi:type="dcterms:W3CDTF">2018-06-11T15:24:00Z</dcterms:modified>
</cp:coreProperties>
</file>